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D96F" w14:textId="77777777" w:rsidR="009F6F9F" w:rsidRDefault="00000000">
      <w:pPr>
        <w:pStyle w:val="Heading1"/>
        <w:jc w:val="center"/>
      </w:pPr>
      <w:bookmarkStart w:id="0" w:name="X9db2d9baf78d9187250be6e7dc6c7ab9079087b"/>
      <w:r>
        <w:t>AI-Driven Prior Authorization — Solution Architecture</w:t>
      </w:r>
    </w:p>
    <w:p w14:paraId="62723D4E" w14:textId="77777777" w:rsidR="009F6F9F" w:rsidRDefault="00000000">
      <w:pPr>
        <w:pStyle w:val="Heading2"/>
      </w:pPr>
      <w:bookmarkStart w:id="1" w:name="autonomize-ai-paul-prae-www.paulprae.com"/>
      <w:r>
        <w:t>Autonomize AI | Paul Prae | www.paulprae.com</w:t>
      </w:r>
    </w:p>
    <w:p w14:paraId="53A6CC33" w14:textId="77777777" w:rsidR="009F6F9F" w:rsidRDefault="00000000">
      <w:pPr>
        <w:pStyle w:val="BlockText"/>
      </w:pPr>
      <w:r>
        <w:t>10 slides + appendix | Priority-tiered for conversational format | Under 30 minutes</w:t>
      </w:r>
    </w:p>
    <w:p w14:paraId="40F4ABD3" w14:textId="77777777" w:rsidR="009F6F9F" w:rsidRDefault="00000000">
      <w:pPr>
        <w:pStyle w:val="BlockText"/>
      </w:pPr>
      <w:r>
        <w:rPr>
          <w:b/>
          <w:bCs/>
        </w:rPr>
        <w:t>Tier A</w:t>
      </w:r>
      <w:r>
        <w:t xml:space="preserve"> (Must Present): Slides 1-4 + Live Demo | </w:t>
      </w:r>
      <w:r>
        <w:rPr>
          <w:b/>
          <w:bCs/>
        </w:rPr>
        <w:t>Tier B</w:t>
      </w:r>
      <w:r>
        <w:t xml:space="preserve"> (Architecture): Slides 5-9 | </w:t>
      </w:r>
      <w:r>
        <w:rPr>
          <w:b/>
          <w:bCs/>
        </w:rPr>
        <w:t>Tier C</w:t>
      </w:r>
      <w:r>
        <w:t xml:space="preserve"> (Appendix): Slide 10 + Appendix slides</w:t>
      </w:r>
    </w:p>
    <w:p w14:paraId="05709BB1" w14:textId="77777777" w:rsidR="009F6F9F" w:rsidRDefault="00000000">
      <w:r>
        <w:pict w14:anchorId="0F03A6F8">
          <v:rect id="_x0000_i1025" style="width:0;height:1.5pt" o:hralign="center" o:hrstd="t" o:hr="t"/>
        </w:pict>
      </w:r>
    </w:p>
    <w:p w14:paraId="4C118734" w14:textId="77777777" w:rsidR="009F6F9F" w:rsidRDefault="00000000">
      <w:pPr>
        <w:pStyle w:val="Heading2"/>
      </w:pPr>
      <w:bookmarkStart w:id="2" w:name="slide-1-title-introduction"/>
      <w:bookmarkEnd w:id="1"/>
      <w:r>
        <w:t>Slide 1: Title &amp; Introduction</w:t>
      </w:r>
    </w:p>
    <w:p w14:paraId="577CAEAE" w14:textId="77777777" w:rsidR="009F6F9F" w:rsidRDefault="00000000">
      <w:pPr>
        <w:pStyle w:val="Heading1"/>
      </w:pPr>
      <w:bookmarkStart w:id="3" w:name="ai-driven-prior-authorization"/>
      <w:bookmarkEnd w:id="0"/>
      <w:bookmarkEnd w:id="2"/>
      <w:r>
        <w:t>AI-Driven Prior Authorization</w:t>
      </w:r>
    </w:p>
    <w:p w14:paraId="65462C6A" w14:textId="77777777" w:rsidR="009F6F9F" w:rsidRDefault="00000000">
      <w:pPr>
        <w:pStyle w:val="Heading3"/>
      </w:pPr>
      <w:bookmarkStart w:id="4" w:name="Xf0655a12164d51a97cf4c1c05aa3de27e6ba0d3"/>
      <w:r>
        <w:t>Solution Architecture for a Large US Health Plan</w:t>
      </w:r>
    </w:p>
    <w:p w14:paraId="5022CB3A" w14:textId="77777777" w:rsidR="009F6F9F" w:rsidRDefault="00000000">
      <w:pPr>
        <w:pStyle w:val="FirstParagraph"/>
      </w:pPr>
      <w:r>
        <w:rPr>
          <w:b/>
          <w:bCs/>
        </w:rPr>
        <w:t>Paul Prae</w:t>
      </w:r>
      <w:r>
        <w:t xml:space="preserve"> | Principal AI Engineer &amp; Architect www.paulprae.com</w:t>
      </w:r>
    </w:p>
    <w:p w14:paraId="61DB5F69" w14:textId="77777777" w:rsidR="009F6F9F" w:rsidRDefault="00000000">
      <w:r>
        <w:pict w14:anchorId="1A29311E">
          <v:rect id="_x0000_i1026" style="width:0;height:1.5pt" o:hralign="center" o:hrstd="t" o:hr="t"/>
        </w:pict>
      </w:r>
    </w:p>
    <w:p w14:paraId="37E83C33" w14:textId="77777777" w:rsidR="009F6F9F" w:rsidRDefault="00000000">
      <w:pPr>
        <w:pStyle w:val="Heading2"/>
      </w:pPr>
      <w:bookmarkStart w:id="5" w:name="slide-2-the-problem-opportunity"/>
      <w:bookmarkEnd w:id="4"/>
      <w:r>
        <w:t>Slide 2: The Problem &amp; Opportunity</w:t>
      </w:r>
    </w:p>
    <w:p w14:paraId="635A506F" w14:textId="77777777" w:rsidR="009F6F9F" w:rsidRDefault="00000000">
      <w:pPr>
        <w:pStyle w:val="FirstParagraph"/>
      </w:pPr>
      <w:r>
        <w:rPr>
          <w:b/>
          <w:bCs/>
        </w:rPr>
        <w:t>The Problem:</w:t>
      </w:r>
      <w:r>
        <w:t xml:space="preserve"> Manual PA processing costs </w:t>
      </w:r>
      <w:r>
        <w:rPr>
          <w:b/>
          <w:bCs/>
        </w:rPr>
        <w:t>$10.97 in labor per provider transaction</w:t>
      </w:r>
      <w:r>
        <w:t xml:space="preserve"> (</w:t>
      </w:r>
      <w:hyperlink r:id="rId5">
        <w:r>
          <w:rPr>
            <w:rStyle w:val="Hyperlink"/>
          </w:rPr>
          <w:t>CAQH 2024 Index</w:t>
        </w:r>
      </w:hyperlink>
      <w:r>
        <w:t xml:space="preserve">), takes days, and burns out clinical staff — </w:t>
      </w:r>
      <w:r>
        <w:rPr>
          <w:b/>
          <w:bCs/>
        </w:rPr>
        <w:t>93% of physicians</w:t>
      </w:r>
      <w:r>
        <w:t xml:space="preserve"> say PA delays patient care (</w:t>
      </w:r>
      <w:hyperlink r:id="rId6">
        <w:r>
          <w:rPr>
            <w:rStyle w:val="Hyperlink"/>
          </w:rPr>
          <w:t>AMA 2024 Survey</w:t>
        </w:r>
      </w:hyperlink>
      <w:r>
        <w:t xml:space="preserve">). On the payer side, each manual transaction costs </w:t>
      </w:r>
      <w:r>
        <w:rPr>
          <w:b/>
          <w:bCs/>
        </w:rPr>
        <w:t>$3.52</w:t>
      </w:r>
      <w:r>
        <w:t xml:space="preserve"> versus roughly </w:t>
      </w:r>
      <w:r>
        <w:rPr>
          <w:b/>
          <w:bCs/>
        </w:rPr>
        <w:t>$0.05</w:t>
      </w:r>
      <w:r>
        <w:t xml:space="preserve"> when fully electronic.</w:t>
      </w:r>
    </w:p>
    <w:p w14:paraId="1ACC9F59" w14:textId="77777777" w:rsidR="009F6F9F" w:rsidRDefault="00000000">
      <w:pPr>
        <w:pStyle w:val="BodyText"/>
      </w:pPr>
      <w:r>
        <w:rPr>
          <w:b/>
          <w:bCs/>
        </w:rPr>
        <w:t>The Opportunity — Altais + Autonomize AI</w:t>
      </w:r>
      <w:r>
        <w:t xml:space="preserve"> (</w:t>
      </w:r>
      <w:hyperlink r:id="rId7">
        <w:r>
          <w:rPr>
            <w:rStyle w:val="Hyperlink"/>
          </w:rPr>
          <w:t>BusinessWire Feb 2026</w:t>
        </w:r>
      </w:hyperlink>
      <w:r>
        <w:t>):</w:t>
      </w:r>
    </w:p>
    <w:p w14:paraId="3709D7D3" w14:textId="77777777" w:rsidR="009F6F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45%</w:t>
      </w:r>
      <w:r>
        <w:t xml:space="preserve"> reduction in PA review time</w:t>
      </w:r>
    </w:p>
    <w:p w14:paraId="0FA97FDD" w14:textId="77777777" w:rsidR="009F6F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54%</w:t>
      </w:r>
      <w:r>
        <w:t xml:space="preserve"> reduction in manual errors</w:t>
      </w:r>
    </w:p>
    <w:p w14:paraId="749AFC53" w14:textId="77777777" w:rsidR="009F6F9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50%</w:t>
      </w:r>
      <w:r>
        <w:t xml:space="preserve"> auto-determination rate</w:t>
      </w:r>
    </w:p>
    <w:p w14:paraId="78CF0172" w14:textId="77777777" w:rsidR="009F6F9F" w:rsidRDefault="00000000">
      <w:pPr>
        <w:pStyle w:val="FirstParagraph"/>
      </w:pPr>
      <w:r>
        <w:rPr>
          <w:b/>
          <w:bCs/>
        </w:rPr>
        <w:t>Why Autonomize AI:</w:t>
      </w:r>
    </w:p>
    <w:p w14:paraId="38777803" w14:textId="77777777" w:rsidR="009F6F9F" w:rsidRDefault="00000000">
      <w:pPr>
        <w:pStyle w:val="Compact"/>
        <w:numPr>
          <w:ilvl w:val="0"/>
          <w:numId w:val="3"/>
        </w:numPr>
      </w:pPr>
      <w:r>
        <w:t xml:space="preserve">Already live at </w:t>
      </w:r>
      <w:r>
        <w:rPr>
          <w:b/>
          <w:bCs/>
        </w:rPr>
        <w:t>3 of the 5 largest US health plans</w:t>
      </w:r>
      <w:r>
        <w:t xml:space="preserve"> (</w:t>
      </w:r>
      <w:hyperlink r:id="rId8">
        <w:r>
          <w:rPr>
            <w:rStyle w:val="Hyperlink"/>
          </w:rPr>
          <w:t>BusinessWire Feb 2026</w:t>
        </w:r>
      </w:hyperlink>
      <w:r>
        <w:t>)</w:t>
      </w:r>
    </w:p>
    <w:p w14:paraId="5A43DFD5" w14:textId="77777777" w:rsidR="009F6F9F" w:rsidRDefault="00000000">
      <w:pPr>
        <w:pStyle w:val="Compact"/>
        <w:numPr>
          <w:ilvl w:val="0"/>
          <w:numId w:val="3"/>
        </w:numPr>
      </w:pPr>
      <w:r>
        <w:t xml:space="preserve">PA Copilot available on </w:t>
      </w:r>
      <w:r>
        <w:rPr>
          <w:b/>
          <w:bCs/>
        </w:rPr>
        <w:t>Azure Marketplace</w:t>
      </w:r>
      <w:r>
        <w:t xml:space="preserve"> (</w:t>
      </w:r>
      <w:hyperlink r:id="rId9">
        <w:r>
          <w:rPr>
            <w:rStyle w:val="Hyperlink"/>
          </w:rPr>
          <w:t>listing</w:t>
        </w:r>
      </w:hyperlink>
      <w:r>
        <w:t xml:space="preserve">), backed by </w:t>
      </w:r>
      <w:r>
        <w:rPr>
          <w:b/>
          <w:bCs/>
        </w:rPr>
        <w:t>Microsoft Pegasus Program</w:t>
      </w:r>
      <w:r>
        <w:t xml:space="preserve"> membership (</w:t>
      </w:r>
      <w:hyperlink r:id="rId10">
        <w:r>
          <w:rPr>
            <w:rStyle w:val="Hyperlink"/>
          </w:rPr>
          <w:t>BusinessWire Nov 2025</w:t>
        </w:r>
      </w:hyperlink>
      <w:r>
        <w:t>)</w:t>
      </w:r>
    </w:p>
    <w:p w14:paraId="78EED8EC" w14:textId="77777777" w:rsidR="009F6F9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ServiceNow partnership</w:t>
      </w:r>
      <w:r>
        <w:t xml:space="preserve"> extends reach into payer workflows (</w:t>
      </w:r>
      <w:hyperlink r:id="rId11">
        <w:r>
          <w:rPr>
            <w:rStyle w:val="Hyperlink"/>
          </w:rPr>
          <w:t>BusinessWire Mar 2026</w:t>
        </w:r>
      </w:hyperlink>
      <w:r>
        <w:t>)</w:t>
      </w:r>
    </w:p>
    <w:p w14:paraId="7E04E12C" w14:textId="77777777" w:rsidR="009F6F9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CMS-0057-F</w:t>
      </w:r>
      <w:r>
        <w:t xml:space="preserve"> regulatory deadline (Jan 2027) creates urgency — FHIR R4 APIs required for PA</w:t>
      </w:r>
    </w:p>
    <w:p w14:paraId="1C3F568A" w14:textId="77777777" w:rsidR="009F6F9F" w:rsidRDefault="00000000">
      <w:r>
        <w:pict w14:anchorId="394E0824">
          <v:rect id="_x0000_i1027" style="width:0;height:1.5pt" o:hralign="center" o:hrstd="t" o:hr="t"/>
        </w:pict>
      </w:r>
    </w:p>
    <w:p w14:paraId="44E7A1DB" w14:textId="77777777" w:rsidR="009F6F9F" w:rsidRDefault="00000000">
      <w:pPr>
        <w:pStyle w:val="Heading2"/>
      </w:pPr>
      <w:bookmarkStart w:id="6" w:name="slide-3-pa-request-lifecycle"/>
      <w:bookmarkEnd w:id="5"/>
      <w:r>
        <w:t>Slide 3: PA Request Lifecycle</w:t>
      </w:r>
    </w:p>
    <w:p w14:paraId="05393178" w14:textId="77777777" w:rsidR="009F6F9F" w:rsidRDefault="00000000">
      <w:pPr>
        <w:pStyle w:val="CaptionedFigure"/>
      </w:pPr>
      <w:r>
        <w:rPr>
          <w:noProof/>
        </w:rPr>
        <w:drawing>
          <wp:inline distT="0" distB="0" distL="0" distR="0" wp14:anchorId="019B286B" wp14:editId="386A5475">
            <wp:extent cx="5334000" cy="775607"/>
            <wp:effectExtent l="0" t="0" r="0" b="0"/>
            <wp:docPr id="22" name="Picture" descr="Diagram: flowchart L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:\Users\paulp\AppData\Local\Temp\md-to-docx-95HEBN\diagram-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5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2B7313" w14:textId="77777777" w:rsidR="009F6F9F" w:rsidRDefault="00000000">
      <w:pPr>
        <w:pStyle w:val="ImageCaption"/>
        <w:jc w:val="center"/>
      </w:pPr>
      <w:r>
        <w:t>Diagram: flowchart LR</w:t>
      </w:r>
    </w:p>
    <w:p w14:paraId="63EA9FBA" w14:textId="77777777" w:rsidR="009F6F9F" w:rsidRDefault="00000000">
      <w:pPr>
        <w:pStyle w:val="BodyText"/>
      </w:pPr>
      <w:r>
        <w:rPr>
          <w:b/>
          <w:bCs/>
        </w:rPr>
        <w:t>6-step process:</w:t>
      </w:r>
      <w:r>
        <w:t xml:space="preserve"> Submit → Intake (OCR/extraction) → Validate (eligibility) → AI Review (coverage matching + confidence scoring) → Route (auto-approve / human review / pend) → Respond (payer core writeback + provider notification)</w:t>
      </w:r>
    </w:p>
    <w:p w14:paraId="3AFE9E47" w14:textId="77777777" w:rsidR="009F6F9F" w:rsidRDefault="00000000">
      <w:r>
        <w:pict w14:anchorId="6236E033">
          <v:rect id="_x0000_i1028" style="width:0;height:1.5pt" o:hralign="center" o:hrstd="t" o:hr="t"/>
        </w:pict>
      </w:r>
    </w:p>
    <w:p w14:paraId="550ADF5C" w14:textId="77777777" w:rsidR="009F6F9F" w:rsidRDefault="00000000">
      <w:pPr>
        <w:pStyle w:val="Heading2"/>
      </w:pPr>
      <w:bookmarkStart w:id="7" w:name="slide-4-demo-proof-of-concept"/>
      <w:bookmarkEnd w:id="6"/>
      <w:r>
        <w:t>Slide 4: Demo — Proof of Concept</w:t>
      </w:r>
    </w:p>
    <w:p w14:paraId="1D27B6E6" w14:textId="77777777" w:rsidR="009F6F9F" w:rsidRDefault="00000000">
      <w:pPr>
        <w:pStyle w:val="BlockText"/>
      </w:pPr>
      <w:r>
        <w:t>“I built a working proof of concept to validate this architecture. It demonstrates the core clinical review flow — steps 4 and 5 of the lifecycle.”</w:t>
      </w:r>
    </w:p>
    <w:p w14:paraId="17A04D4E" w14:textId="77777777" w:rsidR="009F6F9F" w:rsidRDefault="00000000">
      <w:pPr>
        <w:pStyle w:val="FirstParagraph"/>
      </w:pPr>
      <w:r>
        <w:rPr>
          <w:b/>
          <w:bCs/>
        </w:rPr>
        <w:t>What the demo implements:</w:t>
      </w:r>
    </w:p>
    <w:p w14:paraId="7BC26234" w14:textId="77777777" w:rsidR="009F6F9F" w:rsidRDefault="00000000">
      <w:pPr>
        <w:pStyle w:val="CaptionedFigure"/>
      </w:pPr>
      <w:r>
        <w:rPr>
          <w:noProof/>
        </w:rPr>
        <w:drawing>
          <wp:inline distT="0" distB="0" distL="0" distR="0" wp14:anchorId="6E43E5B5" wp14:editId="3DD04126">
            <wp:extent cx="5334000" cy="3469821"/>
            <wp:effectExtent l="0" t="0" r="0" b="0"/>
            <wp:docPr id="26" name="Picture" descr="Diagram: flowchart L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:\Users\paulp\AppData\Local\Temp\md-to-docx-95HEBN\diagram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E5FEC" w14:textId="77777777" w:rsidR="009F6F9F" w:rsidRDefault="00000000">
      <w:pPr>
        <w:pStyle w:val="ImageCaption"/>
        <w:jc w:val="center"/>
      </w:pPr>
      <w:r>
        <w:t>Diagram: flowchart LR</w:t>
      </w:r>
    </w:p>
    <w:p w14:paraId="52F2C477" w14:textId="77777777" w:rsidR="009F6F9F" w:rsidRDefault="00000000">
      <w:pPr>
        <w:pStyle w:val="BodyText"/>
      </w:pPr>
      <w:r>
        <w:rPr>
          <w:b/>
          <w:bCs/>
        </w:rPr>
        <w:t>Demo scope (Phase 0):</w:t>
      </w:r>
    </w:p>
    <w:p w14:paraId="4667DA14" w14:textId="77777777" w:rsidR="009F6F9F" w:rsidRDefault="00000000">
      <w:pPr>
        <w:pStyle w:val="Compact"/>
        <w:numPr>
          <w:ilvl w:val="0"/>
          <w:numId w:val="4"/>
        </w:numPr>
      </w:pPr>
      <w:r>
        <w:t>5 realistic PA cases with real ICD-10/CPT codes</w:t>
      </w:r>
    </w:p>
    <w:p w14:paraId="19260ABC" w14:textId="77777777" w:rsidR="009F6F9F" w:rsidRDefault="00000000">
      <w:pPr>
        <w:pStyle w:val="Compact"/>
        <w:numPr>
          <w:ilvl w:val="0"/>
          <w:numId w:val="4"/>
        </w:numPr>
      </w:pPr>
      <w:r>
        <w:t>AI reviews each case in ~30 seconds using Claude tool use</w:t>
      </w:r>
    </w:p>
    <w:p w14:paraId="63767D20" w14:textId="77777777" w:rsidR="009F6F9F" w:rsidRDefault="00000000">
      <w:pPr>
        <w:pStyle w:val="Compact"/>
        <w:numPr>
          <w:ilvl w:val="0"/>
          <w:numId w:val="4"/>
        </w:numPr>
      </w:pPr>
      <w:r>
        <w:t>FHIR R4 data models throughout (fhir.resources R4B)</w:t>
      </w:r>
    </w:p>
    <w:p w14:paraId="53AB229E" w14:textId="77777777" w:rsidR="009F6F9F" w:rsidRDefault="00000000">
      <w:pPr>
        <w:pStyle w:val="Compact"/>
        <w:numPr>
          <w:ilvl w:val="0"/>
          <w:numId w:val="4"/>
        </w:numPr>
      </w:pPr>
      <w:r>
        <w:t>Three independent interfaces: CLI, REST API + Swagger, Web Dashboard</w:t>
      </w:r>
    </w:p>
    <w:p w14:paraId="675BFA1D" w14:textId="77777777" w:rsidR="009F6F9F" w:rsidRDefault="00000000">
      <w:pPr>
        <w:pStyle w:val="FirstParagraph"/>
      </w:pPr>
      <w:r>
        <w:rPr>
          <w:b/>
          <w:bCs/>
        </w:rPr>
        <w:t>Honest limitations:</w:t>
      </w:r>
    </w:p>
    <w:p w14:paraId="4E9707E5" w14:textId="77777777" w:rsidR="009F6F9F" w:rsidRDefault="00000000">
      <w:pPr>
        <w:pStyle w:val="Compact"/>
        <w:numPr>
          <w:ilvl w:val="0"/>
          <w:numId w:val="5"/>
        </w:numPr>
      </w:pPr>
      <w:r>
        <w:t>Mock eligibility service (production: Payer Core System integration)</w:t>
      </w:r>
    </w:p>
    <w:p w14:paraId="1316C279" w14:textId="77777777" w:rsidR="009F6F9F" w:rsidRDefault="00000000">
      <w:pPr>
        <w:pStyle w:val="Compact"/>
        <w:numPr>
          <w:ilvl w:val="0"/>
          <w:numId w:val="5"/>
        </w:numPr>
      </w:pPr>
      <w:r>
        <w:t>Local coverage criteria (production: CMS Coverage Database API)</w:t>
      </w:r>
    </w:p>
    <w:p w14:paraId="6B2F4D1C" w14:textId="77777777" w:rsidR="009F6F9F" w:rsidRDefault="00000000">
      <w:pPr>
        <w:pStyle w:val="Compact"/>
        <w:numPr>
          <w:ilvl w:val="0"/>
          <w:numId w:val="5"/>
        </w:numPr>
      </w:pPr>
      <w:r>
        <w:t>Synthetic patient data (production: real clinical records via FHIR)</w:t>
      </w:r>
    </w:p>
    <w:p w14:paraId="10AE0B02" w14:textId="77777777" w:rsidR="009F6F9F" w:rsidRDefault="00000000">
      <w:pPr>
        <w:pStyle w:val="Compact"/>
        <w:numPr>
          <w:ilvl w:val="0"/>
          <w:numId w:val="5"/>
        </w:numPr>
      </w:pPr>
      <w:r>
        <w:t>Single-user demo (production: Azure Container Apps with auto-scaling)</w:t>
      </w:r>
    </w:p>
    <w:p w14:paraId="7FE90B7D" w14:textId="77777777" w:rsidR="009F6F9F" w:rsidRDefault="00000000">
      <w:pPr>
        <w:pStyle w:val="BlockText"/>
      </w:pPr>
      <w:r>
        <w:rPr>
          <w:b/>
          <w:bCs/>
        </w:rPr>
        <w:t>[LIVE DEMO]</w:t>
      </w:r>
      <w:r>
        <w:t xml:space="preserve"> — See </w:t>
      </w:r>
      <w:hyperlink r:id="rId14">
        <w:r>
          <w:rPr>
            <w:rStyle w:val="Hyperlink"/>
          </w:rPr>
          <w:t>demo-script.md</w:t>
        </w:r>
      </w:hyperlink>
      <w:r>
        <w:t xml:space="preserve"> for the 5-minute CLI walkthrough</w:t>
      </w:r>
    </w:p>
    <w:p w14:paraId="2A6AAA5B" w14:textId="77777777" w:rsidR="009F6F9F" w:rsidRDefault="00000000">
      <w:r>
        <w:pict w14:anchorId="796013F6">
          <v:rect id="_x0000_i1029" style="width:0;height:1.5pt" o:hralign="center" o:hrstd="t" o:hr="t"/>
        </w:pict>
      </w:r>
    </w:p>
    <w:p w14:paraId="591626EB" w14:textId="77777777" w:rsidR="009F6F9F" w:rsidRDefault="00000000">
      <w:pPr>
        <w:pStyle w:val="Heading2"/>
      </w:pPr>
      <w:bookmarkStart w:id="8" w:name="slide-5-system-context"/>
      <w:bookmarkEnd w:id="7"/>
      <w:r>
        <w:t>Slide 5: System Context</w:t>
      </w:r>
    </w:p>
    <w:p w14:paraId="41DFF89C" w14:textId="77777777" w:rsidR="009F6F9F" w:rsidRDefault="00000000">
      <w:pPr>
        <w:pStyle w:val="CaptionedFigure"/>
      </w:pPr>
      <w:r>
        <w:rPr>
          <w:noProof/>
        </w:rPr>
        <w:drawing>
          <wp:inline distT="0" distB="0" distL="0" distR="0" wp14:anchorId="75EAB74E" wp14:editId="48871DC0">
            <wp:extent cx="5334000" cy="1666875"/>
            <wp:effectExtent l="0" t="0" r="0" b="0"/>
            <wp:docPr id="31" name="Picture" descr="Diagram: flowchart L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:\Users\paulp\AppData\Local\Temp\md-to-docx-95HEBN\diagram-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16073" w14:textId="77777777" w:rsidR="009F6F9F" w:rsidRDefault="00000000">
      <w:pPr>
        <w:pStyle w:val="ImageCaption"/>
        <w:jc w:val="center"/>
      </w:pPr>
      <w:r>
        <w:t>Diagram: flowchart LR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159"/>
        <w:gridCol w:w="4681"/>
      </w:tblGrid>
      <w:tr w:rsidR="009F6F9F" w14:paraId="0DAABB28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74EDE534" w14:textId="77777777" w:rsidR="009F6F9F" w:rsidRDefault="00000000">
            <w:pPr>
              <w:pStyle w:val="Compact"/>
            </w:pPr>
            <w:r>
              <w:t>Actor</w:t>
            </w:r>
          </w:p>
        </w:tc>
        <w:tc>
          <w:tcPr>
            <w:tcW w:w="1827" w:type="dxa"/>
          </w:tcPr>
          <w:p w14:paraId="657EFC64" w14:textId="77777777" w:rsidR="009F6F9F" w:rsidRDefault="0000000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53A575F3" w14:textId="77777777" w:rsidR="009F6F9F" w:rsidRDefault="00000000">
            <w:pPr>
              <w:pStyle w:val="Compact"/>
            </w:pPr>
            <w:r>
              <w:t>Integration</w:t>
            </w:r>
          </w:p>
        </w:tc>
      </w:tr>
      <w:tr w:rsidR="009F6F9F" w14:paraId="0F3E6A1E" w14:textId="77777777">
        <w:tc>
          <w:tcPr>
            <w:tcW w:w="2132" w:type="dxa"/>
          </w:tcPr>
          <w:p w14:paraId="69DA92C5" w14:textId="77777777" w:rsidR="009F6F9F" w:rsidRDefault="00000000">
            <w:pPr>
              <w:pStyle w:val="Compact"/>
            </w:pPr>
            <w:r>
              <w:t>Healthcare Providers</w:t>
            </w:r>
          </w:p>
        </w:tc>
        <w:tc>
          <w:tcPr>
            <w:tcW w:w="1827" w:type="dxa"/>
          </w:tcPr>
          <w:p w14:paraId="013D73F9" w14:textId="77777777" w:rsidR="009F6F9F" w:rsidRDefault="00000000">
            <w:pPr>
              <w:pStyle w:val="Compact"/>
            </w:pPr>
            <w:r>
              <w:t>Submit PA requests via multiple channels</w:t>
            </w:r>
          </w:p>
        </w:tc>
        <w:tc>
          <w:tcPr>
            <w:tcW w:w="3960" w:type="dxa"/>
          </w:tcPr>
          <w:p w14:paraId="2D96DA38" w14:textId="77777777" w:rsidR="009F6F9F" w:rsidRDefault="00000000">
            <w:pPr>
              <w:pStyle w:val="Compact"/>
            </w:pPr>
            <w:r>
              <w:t>Fax, Portal, X12 278</w:t>
            </w:r>
          </w:p>
        </w:tc>
      </w:tr>
      <w:tr w:rsidR="009F6F9F" w14:paraId="582D505E" w14:textId="77777777">
        <w:tc>
          <w:tcPr>
            <w:tcW w:w="2132" w:type="dxa"/>
          </w:tcPr>
          <w:p w14:paraId="6879C2B9" w14:textId="77777777" w:rsidR="009F6F9F" w:rsidRDefault="00000000">
            <w:pPr>
              <w:pStyle w:val="Compact"/>
            </w:pPr>
            <w:r>
              <w:t>Autonomize AI Platform</w:t>
            </w:r>
          </w:p>
        </w:tc>
        <w:tc>
          <w:tcPr>
            <w:tcW w:w="1827" w:type="dxa"/>
          </w:tcPr>
          <w:p w14:paraId="22300FC8" w14:textId="77777777" w:rsidR="009F6F9F" w:rsidRDefault="00000000">
            <w:pPr>
              <w:pStyle w:val="Compact"/>
            </w:pPr>
            <w:r>
              <w:t>AI-driven clinical review engine</w:t>
            </w:r>
          </w:p>
        </w:tc>
        <w:tc>
          <w:tcPr>
            <w:tcW w:w="3960" w:type="dxa"/>
          </w:tcPr>
          <w:p w14:paraId="28DA4246" w14:textId="77777777" w:rsidR="009F6F9F" w:rsidRDefault="00000000">
            <w:pPr>
              <w:pStyle w:val="Compact"/>
            </w:pPr>
            <w:r>
              <w:t>PA Copilot on Genesis</w:t>
            </w:r>
          </w:p>
        </w:tc>
      </w:tr>
      <w:tr w:rsidR="009F6F9F" w14:paraId="4C9C529A" w14:textId="77777777">
        <w:tc>
          <w:tcPr>
            <w:tcW w:w="2132" w:type="dxa"/>
          </w:tcPr>
          <w:p w14:paraId="5D71174A" w14:textId="77777777" w:rsidR="009F6F9F" w:rsidRDefault="00000000">
            <w:pPr>
              <w:pStyle w:val="Compact"/>
            </w:pPr>
            <w:r>
              <w:t>Health Plan Systems</w:t>
            </w:r>
          </w:p>
        </w:tc>
        <w:tc>
          <w:tcPr>
            <w:tcW w:w="1827" w:type="dxa"/>
          </w:tcPr>
          <w:p w14:paraId="5697565C" w14:textId="77777777" w:rsidR="009F6F9F" w:rsidRDefault="00000000">
            <w:pPr>
              <w:pStyle w:val="Compact"/>
            </w:pPr>
            <w:r>
              <w:t>Eligibility, benefits, clinical data</w:t>
            </w:r>
          </w:p>
        </w:tc>
        <w:tc>
          <w:tcPr>
            <w:tcW w:w="3960" w:type="dxa"/>
          </w:tcPr>
          <w:p w14:paraId="06D8F785" w14:textId="77777777" w:rsidR="009F6F9F" w:rsidRDefault="00000000">
            <w:pPr>
              <w:pStyle w:val="Compact"/>
            </w:pPr>
            <w:r>
              <w:t>REST API, FHIR R4</w:t>
            </w:r>
          </w:p>
        </w:tc>
      </w:tr>
      <w:tr w:rsidR="009F6F9F" w14:paraId="16BF533F" w14:textId="77777777">
        <w:tc>
          <w:tcPr>
            <w:tcW w:w="2132" w:type="dxa"/>
          </w:tcPr>
          <w:p w14:paraId="2419BB02" w14:textId="77777777" w:rsidR="009F6F9F" w:rsidRDefault="00000000">
            <w:pPr>
              <w:pStyle w:val="Compact"/>
            </w:pPr>
            <w:r>
              <w:t>Regulators (CMS)</w:t>
            </w:r>
          </w:p>
        </w:tc>
        <w:tc>
          <w:tcPr>
            <w:tcW w:w="1827" w:type="dxa"/>
          </w:tcPr>
          <w:p w14:paraId="0A280622" w14:textId="77777777" w:rsidR="009F6F9F" w:rsidRDefault="00000000">
            <w:pPr>
              <w:pStyle w:val="Compact"/>
            </w:pPr>
            <w:r>
              <w:t>Compliance reporting and oversight</w:t>
            </w:r>
          </w:p>
        </w:tc>
        <w:tc>
          <w:tcPr>
            <w:tcW w:w="3960" w:type="dxa"/>
          </w:tcPr>
          <w:p w14:paraId="3C8007FD" w14:textId="77777777" w:rsidR="009F6F9F" w:rsidRDefault="00000000">
            <w:pPr>
              <w:pStyle w:val="Compact"/>
            </w:pPr>
            <w:r>
              <w:t>CMS-0057-F metrics</w:t>
            </w:r>
          </w:p>
        </w:tc>
      </w:tr>
    </w:tbl>
    <w:p w14:paraId="44E965AA" w14:textId="77777777" w:rsidR="009F6F9F" w:rsidRDefault="00000000">
      <w:r>
        <w:pict w14:anchorId="028D36AE">
          <v:rect id="_x0000_i1030" style="width:0;height:1.5pt" o:hralign="center" o:hrstd="t" o:hr="t"/>
        </w:pict>
      </w:r>
    </w:p>
    <w:p w14:paraId="48EDF310" w14:textId="77777777" w:rsidR="009F6F9F" w:rsidRDefault="00000000">
      <w:pPr>
        <w:pStyle w:val="Heading2"/>
      </w:pPr>
      <w:bookmarkStart w:id="9" w:name="slide-6-solution-architecture"/>
      <w:bookmarkEnd w:id="8"/>
      <w:r>
        <w:t>Slide 6: Solution Architecture</w:t>
      </w:r>
    </w:p>
    <w:p w14:paraId="6B929184" w14:textId="77777777" w:rsidR="009F6F9F" w:rsidRDefault="00000000">
      <w:pPr>
        <w:pStyle w:val="CaptionedFigure"/>
      </w:pPr>
      <w:r>
        <w:rPr>
          <w:noProof/>
        </w:rPr>
        <w:drawing>
          <wp:inline distT="0" distB="0" distL="0" distR="0" wp14:anchorId="7E776236" wp14:editId="44FFA9E1">
            <wp:extent cx="5334000" cy="7565571"/>
            <wp:effectExtent l="0" t="0" r="0" b="0"/>
            <wp:docPr id="35" name="Picture" descr="Diagram: flowchart T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paulp\AppData\Local\Temp\md-to-docx-95HEBN\diagram-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5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55396" w14:textId="77777777" w:rsidR="009F6F9F" w:rsidRDefault="00000000">
      <w:pPr>
        <w:pStyle w:val="ImageCaption"/>
      </w:pPr>
      <w:r>
        <w:t>Diagram: flowchart TB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9"/>
        <w:gridCol w:w="3854"/>
        <w:gridCol w:w="2477"/>
      </w:tblGrid>
      <w:tr w:rsidR="009F6F9F" w14:paraId="6EE5E123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28C48B38" w14:textId="77777777" w:rsidR="009F6F9F" w:rsidRDefault="00000000">
            <w:pPr>
              <w:pStyle w:val="Compact"/>
            </w:pPr>
            <w:r>
              <w:t>Component</w:t>
            </w:r>
          </w:p>
        </w:tc>
        <w:tc>
          <w:tcPr>
            <w:tcW w:w="3261" w:type="dxa"/>
          </w:tcPr>
          <w:p w14:paraId="171DA236" w14:textId="77777777" w:rsidR="009F6F9F" w:rsidRDefault="00000000">
            <w:pPr>
              <w:pStyle w:val="Compact"/>
            </w:pPr>
            <w:r>
              <w:t>Azure Service</w:t>
            </w:r>
          </w:p>
        </w:tc>
        <w:tc>
          <w:tcPr>
            <w:tcW w:w="2096" w:type="dxa"/>
          </w:tcPr>
          <w:p w14:paraId="66E4B44D" w14:textId="77777777" w:rsidR="009F6F9F" w:rsidRDefault="00000000">
            <w:pPr>
              <w:pStyle w:val="Compact"/>
            </w:pPr>
            <w:r>
              <w:t>Purpose</w:t>
            </w:r>
          </w:p>
        </w:tc>
      </w:tr>
      <w:tr w:rsidR="009F6F9F" w14:paraId="3FAD7A3B" w14:textId="77777777">
        <w:tc>
          <w:tcPr>
            <w:tcW w:w="2562" w:type="dxa"/>
          </w:tcPr>
          <w:p w14:paraId="03FADC87" w14:textId="77777777" w:rsidR="009F6F9F" w:rsidRDefault="00000000">
            <w:pPr>
              <w:pStyle w:val="Compact"/>
            </w:pPr>
            <w:r>
              <w:t>Ingestion Gateway</w:t>
            </w:r>
          </w:p>
        </w:tc>
        <w:tc>
          <w:tcPr>
            <w:tcW w:w="3261" w:type="dxa"/>
          </w:tcPr>
          <w:p w14:paraId="49EACE3B" w14:textId="77777777" w:rsidR="009F6F9F" w:rsidRDefault="00000000">
            <w:pPr>
              <w:pStyle w:val="Compact"/>
            </w:pPr>
            <w:r>
              <w:t>API Management + Functions</w:t>
            </w:r>
          </w:p>
        </w:tc>
        <w:tc>
          <w:tcPr>
            <w:tcW w:w="2096" w:type="dxa"/>
          </w:tcPr>
          <w:p w14:paraId="4FF68732" w14:textId="77777777" w:rsidR="009F6F9F" w:rsidRDefault="00000000">
            <w:pPr>
              <w:pStyle w:val="Compact"/>
            </w:pPr>
            <w:r>
              <w:t>Receives all PA channels</w:t>
            </w:r>
          </w:p>
        </w:tc>
      </w:tr>
      <w:tr w:rsidR="009F6F9F" w14:paraId="5F1F35C6" w14:textId="77777777">
        <w:tc>
          <w:tcPr>
            <w:tcW w:w="2562" w:type="dxa"/>
          </w:tcPr>
          <w:p w14:paraId="7D3706F1" w14:textId="77777777" w:rsidR="009F6F9F" w:rsidRDefault="00000000">
            <w:pPr>
              <w:pStyle w:val="Compact"/>
            </w:pPr>
            <w:r>
              <w:t>Document Processing</w:t>
            </w:r>
          </w:p>
        </w:tc>
        <w:tc>
          <w:tcPr>
            <w:tcW w:w="3261" w:type="dxa"/>
          </w:tcPr>
          <w:p w14:paraId="43123FC4" w14:textId="77777777" w:rsidR="009F6F9F" w:rsidRDefault="00000000">
            <w:pPr>
              <w:pStyle w:val="Compact"/>
            </w:pPr>
            <w:r>
              <w:t>AI Document Intelligence</w:t>
            </w:r>
          </w:p>
        </w:tc>
        <w:tc>
          <w:tcPr>
            <w:tcW w:w="2096" w:type="dxa"/>
          </w:tcPr>
          <w:p w14:paraId="2E25118E" w14:textId="77777777" w:rsidR="009F6F9F" w:rsidRDefault="00000000">
            <w:pPr>
              <w:pStyle w:val="Compact"/>
            </w:pPr>
            <w:r>
              <w:t>OCR for faxes</w:t>
            </w:r>
          </w:p>
        </w:tc>
      </w:tr>
      <w:tr w:rsidR="009F6F9F" w14:paraId="18DC684A" w14:textId="77777777">
        <w:tc>
          <w:tcPr>
            <w:tcW w:w="2562" w:type="dxa"/>
          </w:tcPr>
          <w:p w14:paraId="4B5EC7D1" w14:textId="77777777" w:rsidR="009F6F9F" w:rsidRDefault="00000000">
            <w:pPr>
              <w:pStyle w:val="Compact"/>
            </w:pPr>
            <w:r>
              <w:t>Eligibility Service</w:t>
            </w:r>
          </w:p>
        </w:tc>
        <w:tc>
          <w:tcPr>
            <w:tcW w:w="3261" w:type="dxa"/>
          </w:tcPr>
          <w:p w14:paraId="0E24836E" w14:textId="77777777" w:rsidR="009F6F9F" w:rsidRDefault="00000000">
            <w:pPr>
              <w:pStyle w:val="Compact"/>
            </w:pPr>
            <w:r>
              <w:t>Payer Core REST API</w:t>
            </w:r>
          </w:p>
        </w:tc>
        <w:tc>
          <w:tcPr>
            <w:tcW w:w="2096" w:type="dxa"/>
          </w:tcPr>
          <w:p w14:paraId="29D2D905" w14:textId="77777777" w:rsidR="009F6F9F" w:rsidRDefault="00000000">
            <w:pPr>
              <w:pStyle w:val="Compact"/>
            </w:pPr>
            <w:r>
              <w:t>Member validation</w:t>
            </w:r>
          </w:p>
        </w:tc>
      </w:tr>
      <w:tr w:rsidR="009F6F9F" w14:paraId="5268BB7D" w14:textId="77777777">
        <w:tc>
          <w:tcPr>
            <w:tcW w:w="2562" w:type="dxa"/>
          </w:tcPr>
          <w:p w14:paraId="5A999FB2" w14:textId="77777777" w:rsidR="009F6F9F" w:rsidRDefault="00000000">
            <w:pPr>
              <w:pStyle w:val="Compact"/>
            </w:pPr>
            <w:r>
              <w:t>Clinical Data Aggregation</w:t>
            </w:r>
          </w:p>
        </w:tc>
        <w:tc>
          <w:tcPr>
            <w:tcW w:w="3261" w:type="dxa"/>
          </w:tcPr>
          <w:p w14:paraId="52904E13" w14:textId="77777777" w:rsidR="009F6F9F" w:rsidRDefault="00000000">
            <w:pPr>
              <w:pStyle w:val="Compact"/>
            </w:pPr>
            <w:r>
              <w:t>Health Data Services (FHIR R4)</w:t>
            </w:r>
          </w:p>
        </w:tc>
        <w:tc>
          <w:tcPr>
            <w:tcW w:w="2096" w:type="dxa"/>
          </w:tcPr>
          <w:p w14:paraId="051003A6" w14:textId="77777777" w:rsidR="009F6F9F" w:rsidRDefault="00000000">
            <w:pPr>
              <w:pStyle w:val="Compact"/>
            </w:pPr>
            <w:r>
              <w:t>Unified clinical context</w:t>
            </w:r>
          </w:p>
        </w:tc>
      </w:tr>
      <w:tr w:rsidR="009F6F9F" w14:paraId="4799CF44" w14:textId="77777777">
        <w:tc>
          <w:tcPr>
            <w:tcW w:w="2562" w:type="dxa"/>
          </w:tcPr>
          <w:p w14:paraId="16ED8F7E" w14:textId="77777777" w:rsidR="009F6F9F" w:rsidRDefault="00000000">
            <w:pPr>
              <w:pStyle w:val="Compact"/>
            </w:pPr>
            <w:r>
              <w:t>PA Copilot</w:t>
            </w:r>
          </w:p>
        </w:tc>
        <w:tc>
          <w:tcPr>
            <w:tcW w:w="3261" w:type="dxa"/>
          </w:tcPr>
          <w:p w14:paraId="32A68986" w14:textId="77777777" w:rsidR="009F6F9F" w:rsidRDefault="00000000">
            <w:pPr>
              <w:pStyle w:val="Compact"/>
            </w:pPr>
            <w:r>
              <w:t>Genesis Platform + Claude</w:t>
            </w:r>
          </w:p>
        </w:tc>
        <w:tc>
          <w:tcPr>
            <w:tcW w:w="2096" w:type="dxa"/>
          </w:tcPr>
          <w:p w14:paraId="39F6AEB9" w14:textId="77777777" w:rsidR="009F6F9F" w:rsidRDefault="00000000">
            <w:pPr>
              <w:pStyle w:val="Compact"/>
            </w:pPr>
            <w:r>
              <w:t>AI clinical review</w:t>
            </w:r>
          </w:p>
        </w:tc>
      </w:tr>
      <w:tr w:rsidR="009F6F9F" w14:paraId="626B191F" w14:textId="77777777">
        <w:tc>
          <w:tcPr>
            <w:tcW w:w="2562" w:type="dxa"/>
          </w:tcPr>
          <w:p w14:paraId="72B1384B" w14:textId="77777777" w:rsidR="009F6F9F" w:rsidRDefault="00000000">
            <w:pPr>
              <w:pStyle w:val="Compact"/>
            </w:pPr>
            <w:r>
              <w:t>Determination Router</w:t>
            </w:r>
          </w:p>
        </w:tc>
        <w:tc>
          <w:tcPr>
            <w:tcW w:w="3261" w:type="dxa"/>
          </w:tcPr>
          <w:p w14:paraId="13C99839" w14:textId="77777777" w:rsidR="009F6F9F" w:rsidRDefault="00000000">
            <w:pPr>
              <w:pStyle w:val="Compact"/>
            </w:pPr>
            <w:r>
              <w:t>Functions + Rules</w:t>
            </w:r>
          </w:p>
        </w:tc>
        <w:tc>
          <w:tcPr>
            <w:tcW w:w="2096" w:type="dxa"/>
          </w:tcPr>
          <w:p w14:paraId="37E189AA" w14:textId="77777777" w:rsidR="009F6F9F" w:rsidRDefault="00000000">
            <w:pPr>
              <w:pStyle w:val="Compact"/>
            </w:pPr>
            <w:r>
              <w:t>Confidence-based routing</w:t>
            </w:r>
          </w:p>
        </w:tc>
      </w:tr>
      <w:tr w:rsidR="009F6F9F" w14:paraId="76AED630" w14:textId="77777777">
        <w:tc>
          <w:tcPr>
            <w:tcW w:w="2562" w:type="dxa"/>
          </w:tcPr>
          <w:p w14:paraId="41AF9659" w14:textId="77777777" w:rsidR="009F6F9F" w:rsidRDefault="00000000">
            <w:pPr>
              <w:pStyle w:val="Compact"/>
            </w:pPr>
            <w:r>
              <w:t>Clinical Review Dashboard</w:t>
            </w:r>
          </w:p>
        </w:tc>
        <w:tc>
          <w:tcPr>
            <w:tcW w:w="3261" w:type="dxa"/>
          </w:tcPr>
          <w:p w14:paraId="0827B73E" w14:textId="77777777" w:rsidR="009F6F9F" w:rsidRDefault="00000000">
            <w:pPr>
              <w:pStyle w:val="Compact"/>
            </w:pPr>
            <w:r>
              <w:t>AI Studio</w:t>
            </w:r>
          </w:p>
        </w:tc>
        <w:tc>
          <w:tcPr>
            <w:tcW w:w="2096" w:type="dxa"/>
          </w:tcPr>
          <w:p w14:paraId="76AD7001" w14:textId="77777777" w:rsidR="009F6F9F" w:rsidRDefault="00000000">
            <w:pPr>
              <w:pStyle w:val="Compact"/>
            </w:pPr>
            <w:r>
              <w:t>Human reviewer interface</w:t>
            </w:r>
          </w:p>
        </w:tc>
      </w:tr>
      <w:tr w:rsidR="009F6F9F" w14:paraId="63C0A787" w14:textId="77777777">
        <w:tc>
          <w:tcPr>
            <w:tcW w:w="2562" w:type="dxa"/>
          </w:tcPr>
          <w:p w14:paraId="2C5BEB25" w14:textId="77777777" w:rsidR="009F6F9F" w:rsidRDefault="00000000">
            <w:pPr>
              <w:pStyle w:val="Compact"/>
            </w:pPr>
            <w:r>
              <w:t>Audit &amp; Compliance</w:t>
            </w:r>
          </w:p>
        </w:tc>
        <w:tc>
          <w:tcPr>
            <w:tcW w:w="3261" w:type="dxa"/>
          </w:tcPr>
          <w:p w14:paraId="5D58C015" w14:textId="77777777" w:rsidR="009F6F9F" w:rsidRDefault="00000000">
            <w:pPr>
              <w:pStyle w:val="Compact"/>
            </w:pPr>
            <w:r>
              <w:t>Immutable Blob Storage</w:t>
            </w:r>
          </w:p>
        </w:tc>
        <w:tc>
          <w:tcPr>
            <w:tcW w:w="2096" w:type="dxa"/>
          </w:tcPr>
          <w:p w14:paraId="30CDD712" w14:textId="77777777" w:rsidR="009F6F9F" w:rsidRDefault="00000000">
            <w:pPr>
              <w:pStyle w:val="Compact"/>
            </w:pPr>
            <w:r>
              <w:t>Tamper-proof audit trail</w:t>
            </w:r>
          </w:p>
        </w:tc>
      </w:tr>
    </w:tbl>
    <w:p w14:paraId="70E7C5A6" w14:textId="77777777" w:rsidR="009F6F9F" w:rsidRDefault="00000000">
      <w:r>
        <w:pict w14:anchorId="1F24FBAD">
          <v:rect id="_x0000_i1031" style="width:0;height:1.5pt" o:hralign="center" o:hrstd="t" o:hr="t"/>
        </w:pict>
      </w:r>
    </w:p>
    <w:p w14:paraId="069668D2" w14:textId="77777777" w:rsidR="009F6F9F" w:rsidRDefault="00000000">
      <w:pPr>
        <w:pStyle w:val="Heading2"/>
      </w:pPr>
      <w:bookmarkStart w:id="10" w:name="slide-7-why-this-architecture"/>
      <w:bookmarkEnd w:id="9"/>
      <w:r>
        <w:t>Slide 7: Why This Architecture</w:t>
      </w:r>
    </w:p>
    <w:p w14:paraId="533FE8F9" w14:textId="77777777" w:rsidR="009F6F9F" w:rsidRDefault="00000000">
      <w:pPr>
        <w:pStyle w:val="FirstParagraph"/>
      </w:pPr>
      <w:r>
        <w:rPr>
          <w:b/>
          <w:bCs/>
        </w:rPr>
        <w:t>Key business benefits of these specific technical choices:</w:t>
      </w:r>
    </w:p>
    <w:p w14:paraId="55D98A7F" w14:textId="77777777" w:rsidR="009F6F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Safety-first determination routing</w:t>
      </w:r>
      <w:r>
        <w:t xml:space="preserve"> — confidence thresholds route low-certainty cases to human reviewers; no case is ever auto-denied without clinical review</w:t>
      </w:r>
    </w:p>
    <w:p w14:paraId="15A31583" w14:textId="77777777" w:rsidR="009F6F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Configurable confidence thresholds</w:t>
      </w:r>
      <w:r>
        <w:t xml:space="preserve"> — start conservative, tune with real performance data as the system learns</w:t>
      </w:r>
    </w:p>
    <w:p w14:paraId="2C7D013B" w14:textId="77777777" w:rsidR="009F6F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CMS-0057-F compliance readiness</w:t>
      </w:r>
      <w:r>
        <w:t xml:space="preserve"> — FHIR R4 foundation meets the Jan 2027 API deadline without re-architecture</w:t>
      </w:r>
    </w:p>
    <w:p w14:paraId="52A50894" w14:textId="77777777" w:rsidR="009F6F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Azure-native deployment</w:t>
      </w:r>
      <w:r>
        <w:t xml:space="preserve"> — leverages Autonomize’s existing Azure ecosystem, Pegasus Program membership, and Marketplace presence</w:t>
      </w:r>
    </w:p>
    <w:p w14:paraId="2046EEEF" w14:textId="77777777" w:rsidR="009F6F9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Full audit trail</w:t>
      </w:r>
      <w:r>
        <w:t xml:space="preserve"> — every determination records model version, input hash, reasoning, evidence, and confidence for 7-year regulatory retention</w:t>
      </w:r>
    </w:p>
    <w:p w14:paraId="5C490025" w14:textId="77777777" w:rsidR="009F6F9F" w:rsidRDefault="00000000">
      <w:r>
        <w:pict w14:anchorId="68D7D4A4">
          <v:rect id="_x0000_i1032" style="width:0;height:1.5pt" o:hralign="center" o:hrstd="t" o:hr="t"/>
        </w:pict>
      </w:r>
    </w:p>
    <w:p w14:paraId="7797638E" w14:textId="77777777" w:rsidR="009F6F9F" w:rsidRDefault="00000000">
      <w:pPr>
        <w:pStyle w:val="Heading2"/>
      </w:pPr>
      <w:bookmarkStart w:id="11" w:name="slide-8-top-3-security-risks-mitigations"/>
      <w:bookmarkEnd w:id="10"/>
      <w:r>
        <w:t>Slide 8: Top 3 Security Risks &amp;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"/>
        <w:gridCol w:w="851"/>
        <w:gridCol w:w="4255"/>
        <w:gridCol w:w="3829"/>
      </w:tblGrid>
      <w:tr w:rsidR="009F6F9F" w14:paraId="63F1E604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</w:tcPr>
          <w:p w14:paraId="05D32FCE" w14:textId="77777777" w:rsidR="009F6F9F" w:rsidRDefault="00000000">
            <w:pPr>
              <w:pStyle w:val="Compact"/>
            </w:pPr>
            <w:r>
              <w:t>#</w:t>
            </w:r>
          </w:p>
        </w:tc>
        <w:tc>
          <w:tcPr>
            <w:tcW w:w="720" w:type="dxa"/>
          </w:tcPr>
          <w:p w14:paraId="11DDB6FF" w14:textId="77777777" w:rsidR="009F6F9F" w:rsidRDefault="00000000">
            <w:pPr>
              <w:pStyle w:val="Compact"/>
            </w:pPr>
            <w:r>
              <w:t>Risk</w:t>
            </w:r>
          </w:p>
        </w:tc>
        <w:tc>
          <w:tcPr>
            <w:tcW w:w="3600" w:type="dxa"/>
          </w:tcPr>
          <w:p w14:paraId="01C22138" w14:textId="77777777" w:rsidR="009F6F9F" w:rsidRDefault="00000000">
            <w:pPr>
              <w:pStyle w:val="Compact"/>
            </w:pPr>
            <w:r>
              <w:t>Mitigation 1: Architectural</w:t>
            </w:r>
          </w:p>
        </w:tc>
        <w:tc>
          <w:tcPr>
            <w:tcW w:w="3240" w:type="dxa"/>
          </w:tcPr>
          <w:p w14:paraId="0F8106E3" w14:textId="77777777" w:rsidR="009F6F9F" w:rsidRDefault="00000000">
            <w:pPr>
              <w:pStyle w:val="Compact"/>
            </w:pPr>
            <w:r>
              <w:t>Mitigation 2: Operational</w:t>
            </w:r>
          </w:p>
        </w:tc>
      </w:tr>
      <w:tr w:rsidR="009F6F9F" w14:paraId="3F415A4E" w14:textId="77777777">
        <w:tc>
          <w:tcPr>
            <w:tcW w:w="360" w:type="dxa"/>
          </w:tcPr>
          <w:p w14:paraId="52121718" w14:textId="77777777" w:rsidR="009F6F9F" w:rsidRDefault="00000000">
            <w:pPr>
              <w:pStyle w:val="Compact"/>
            </w:pPr>
            <w:r>
              <w:t>1</w:t>
            </w:r>
          </w:p>
        </w:tc>
        <w:tc>
          <w:tcPr>
            <w:tcW w:w="720" w:type="dxa"/>
          </w:tcPr>
          <w:p w14:paraId="1B0CE649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PHI exposure through AI pipeline</w:t>
            </w:r>
          </w:p>
        </w:tc>
        <w:tc>
          <w:tcPr>
            <w:tcW w:w="3600" w:type="dxa"/>
          </w:tcPr>
          <w:p w14:paraId="58EB4DF1" w14:textId="77777777" w:rsidR="009F6F9F" w:rsidRDefault="00000000">
            <w:pPr>
              <w:pStyle w:val="Compact"/>
            </w:pPr>
            <w:r>
              <w:t>PHI tokenization before LLM — AI sees clinical facts without patient identity</w:t>
            </w:r>
          </w:p>
        </w:tc>
        <w:tc>
          <w:tcPr>
            <w:tcW w:w="3240" w:type="dxa"/>
          </w:tcPr>
          <w:p w14:paraId="561A0512" w14:textId="77777777" w:rsidR="009F6F9F" w:rsidRDefault="00000000">
            <w:pPr>
              <w:pStyle w:val="Compact"/>
            </w:pPr>
            <w:r>
              <w:t>Anthropic API usage ensures zero data retention for model training (per enterprise terms)</w:t>
            </w:r>
          </w:p>
        </w:tc>
      </w:tr>
      <w:tr w:rsidR="009F6F9F" w14:paraId="6DFFECA4" w14:textId="77777777">
        <w:tc>
          <w:tcPr>
            <w:tcW w:w="360" w:type="dxa"/>
          </w:tcPr>
          <w:p w14:paraId="49324936" w14:textId="77777777" w:rsidR="009F6F9F" w:rsidRDefault="00000000">
            <w:pPr>
              <w:pStyle w:val="Compact"/>
            </w:pPr>
            <w:r>
              <w:t>2</w:t>
            </w:r>
          </w:p>
        </w:tc>
        <w:tc>
          <w:tcPr>
            <w:tcW w:w="720" w:type="dxa"/>
          </w:tcPr>
          <w:p w14:paraId="292F8585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Prompt injection via clinical documents</w:t>
            </w:r>
          </w:p>
        </w:tc>
        <w:tc>
          <w:tcPr>
            <w:tcW w:w="3600" w:type="dxa"/>
          </w:tcPr>
          <w:p w14:paraId="1F21FE2F" w14:textId="77777777" w:rsidR="009F6F9F" w:rsidRDefault="00000000">
            <w:pPr>
              <w:pStyle w:val="Compact"/>
            </w:pPr>
            <w:r>
              <w:t>Document sanitization + system prompt isolation</w:t>
            </w:r>
          </w:p>
        </w:tc>
        <w:tc>
          <w:tcPr>
            <w:tcW w:w="3240" w:type="dxa"/>
          </w:tcPr>
          <w:p w14:paraId="762113C2" w14:textId="77777777" w:rsidR="009F6F9F" w:rsidRDefault="00000000">
            <w:pPr>
              <w:pStyle w:val="Compact"/>
            </w:pPr>
            <w:r>
              <w:t>Output validation requiring evidence citations — hallucinated or injected claims fail verification</w:t>
            </w:r>
          </w:p>
        </w:tc>
      </w:tr>
      <w:tr w:rsidR="009F6F9F" w14:paraId="656190F1" w14:textId="77777777">
        <w:tc>
          <w:tcPr>
            <w:tcW w:w="360" w:type="dxa"/>
          </w:tcPr>
          <w:p w14:paraId="0E263077" w14:textId="77777777" w:rsidR="009F6F9F" w:rsidRDefault="00000000">
            <w:pPr>
              <w:pStyle w:val="Compact"/>
            </w:pPr>
            <w:r>
              <w:t>3</w:t>
            </w:r>
          </w:p>
        </w:tc>
        <w:tc>
          <w:tcPr>
            <w:tcW w:w="720" w:type="dxa"/>
          </w:tcPr>
          <w:p w14:paraId="6A1DF376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Untraceable AI decisions</w:t>
            </w:r>
          </w:p>
        </w:tc>
        <w:tc>
          <w:tcPr>
            <w:tcW w:w="3600" w:type="dxa"/>
          </w:tcPr>
          <w:p w14:paraId="1A11D27B" w14:textId="77777777" w:rsidR="009F6F9F" w:rsidRDefault="00000000">
            <w:pPr>
              <w:pStyle w:val="Compact"/>
            </w:pPr>
            <w:r>
              <w:t>Tamper-proof audit trail: model version, input hash, reasoning, evidence, confidence</w:t>
            </w:r>
          </w:p>
        </w:tc>
        <w:tc>
          <w:tcPr>
            <w:tcW w:w="3240" w:type="dxa"/>
          </w:tcPr>
          <w:p w14:paraId="38C47FA4" w14:textId="77777777" w:rsidR="009F6F9F" w:rsidRDefault="00000000">
            <w:pPr>
              <w:pStyle w:val="Compact"/>
            </w:pPr>
            <w:r>
              <w:t>Immutable 7-year retention with append-only writes</w:t>
            </w:r>
          </w:p>
        </w:tc>
      </w:tr>
    </w:tbl>
    <w:p w14:paraId="6B0249A3" w14:textId="77777777" w:rsidR="009F6F9F" w:rsidRDefault="00000000">
      <w:pPr>
        <w:pStyle w:val="BodyText"/>
      </w:pPr>
      <w:r>
        <w:rPr>
          <w:b/>
          <w:bCs/>
        </w:rPr>
        <w:t>Additional controls:</w:t>
      </w:r>
      <w:r>
        <w:t xml:space="preserve"> Entra ID RBAC, AES-256 at rest, TLS 1.2+ in transit, private endpoints, no auto-deny without human review.</w:t>
      </w:r>
    </w:p>
    <w:p w14:paraId="51CFD51F" w14:textId="77777777" w:rsidR="009F6F9F" w:rsidRDefault="00000000">
      <w:r>
        <w:pict w14:anchorId="3B058BA5">
          <v:rect id="_x0000_i1033" style="width:0;height:1.5pt" o:hralign="center" o:hrstd="t" o:hr="t"/>
        </w:pict>
      </w:r>
    </w:p>
    <w:p w14:paraId="2D2FD71C" w14:textId="77777777" w:rsidR="009F6F9F" w:rsidRDefault="00000000">
      <w:pPr>
        <w:pStyle w:val="Heading2"/>
      </w:pPr>
      <w:bookmarkStart w:id="12" w:name="slide-9-progressive-delivery"/>
      <w:bookmarkEnd w:id="11"/>
      <w:r>
        <w:t>Slide 9: Progressive Delivery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14"/>
        <w:gridCol w:w="2113"/>
        <w:gridCol w:w="5133"/>
      </w:tblGrid>
      <w:tr w:rsidR="009F6F9F" w14:paraId="2C6FC5A5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1F5C26A3" w14:textId="77777777" w:rsidR="009F6F9F" w:rsidRDefault="00000000">
            <w:pPr>
              <w:pStyle w:val="Compact"/>
            </w:pPr>
            <w:r>
              <w:t>Phase</w:t>
            </w:r>
          </w:p>
        </w:tc>
        <w:tc>
          <w:tcPr>
            <w:tcW w:w="1788" w:type="dxa"/>
          </w:tcPr>
          <w:p w14:paraId="2D431069" w14:textId="77777777" w:rsidR="009F6F9F" w:rsidRDefault="00000000">
            <w:pPr>
              <w:pStyle w:val="Compact"/>
            </w:pPr>
            <w:r>
              <w:t>Focus</w:t>
            </w:r>
          </w:p>
        </w:tc>
        <w:tc>
          <w:tcPr>
            <w:tcW w:w="4343" w:type="dxa"/>
          </w:tcPr>
          <w:p w14:paraId="00D953C8" w14:textId="77777777" w:rsidR="009F6F9F" w:rsidRDefault="00000000">
            <w:pPr>
              <w:pStyle w:val="Compact"/>
            </w:pPr>
            <w:r>
              <w:t>Key Deliverable</w:t>
            </w:r>
          </w:p>
        </w:tc>
      </w:tr>
      <w:tr w:rsidR="009F6F9F" w14:paraId="00F4DB31" w14:textId="77777777">
        <w:tc>
          <w:tcPr>
            <w:tcW w:w="1788" w:type="dxa"/>
          </w:tcPr>
          <w:p w14:paraId="56FE284D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Phase 0: Demo</w:t>
            </w:r>
          </w:p>
        </w:tc>
        <w:tc>
          <w:tcPr>
            <w:tcW w:w="1788" w:type="dxa"/>
          </w:tcPr>
          <w:p w14:paraId="6F5D03C0" w14:textId="77777777" w:rsidR="009F6F9F" w:rsidRDefault="00000000">
            <w:pPr>
              <w:pStyle w:val="Compact"/>
            </w:pPr>
            <w:r>
              <w:t>Prove the concept</w:t>
            </w:r>
          </w:p>
        </w:tc>
        <w:tc>
          <w:tcPr>
            <w:tcW w:w="4343" w:type="dxa"/>
          </w:tcPr>
          <w:p w14:paraId="5E65C2F3" w14:textId="77777777" w:rsidR="009F6F9F" w:rsidRDefault="00000000">
            <w:pPr>
              <w:pStyle w:val="Compact"/>
            </w:pPr>
            <w:r>
              <w:t>Working AI PA review with mock data</w:t>
            </w:r>
          </w:p>
        </w:tc>
      </w:tr>
      <w:tr w:rsidR="009F6F9F" w14:paraId="10DFCE94" w14:textId="77777777">
        <w:tc>
          <w:tcPr>
            <w:tcW w:w="1788" w:type="dxa"/>
          </w:tcPr>
          <w:p w14:paraId="4C89A464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Phase 1: MVP</w:t>
            </w:r>
          </w:p>
        </w:tc>
        <w:tc>
          <w:tcPr>
            <w:tcW w:w="1788" w:type="dxa"/>
          </w:tcPr>
          <w:p w14:paraId="57747602" w14:textId="77777777" w:rsidR="009F6F9F" w:rsidRDefault="00000000">
            <w:pPr>
              <w:pStyle w:val="Compact"/>
            </w:pPr>
            <w:r>
              <w:t>Single LOB, single channel</w:t>
            </w:r>
          </w:p>
        </w:tc>
        <w:tc>
          <w:tcPr>
            <w:tcW w:w="4343" w:type="dxa"/>
          </w:tcPr>
          <w:p w14:paraId="29DFFC53" w14:textId="77777777" w:rsidR="009F6F9F" w:rsidRDefault="00000000">
            <w:pPr>
              <w:pStyle w:val="Compact"/>
            </w:pPr>
            <w:r>
              <w:t>Production PA processing with human review</w:t>
            </w:r>
          </w:p>
        </w:tc>
      </w:tr>
      <w:tr w:rsidR="009F6F9F" w14:paraId="74BDAB46" w14:textId="77777777">
        <w:tc>
          <w:tcPr>
            <w:tcW w:w="1788" w:type="dxa"/>
          </w:tcPr>
          <w:p w14:paraId="7504AFBF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Phase 2: Scale</w:t>
            </w:r>
          </w:p>
        </w:tc>
        <w:tc>
          <w:tcPr>
            <w:tcW w:w="1788" w:type="dxa"/>
          </w:tcPr>
          <w:p w14:paraId="4FD72421" w14:textId="77777777" w:rsidR="009F6F9F" w:rsidRDefault="00000000">
            <w:pPr>
              <w:pStyle w:val="Compact"/>
            </w:pPr>
            <w:r>
              <w:t>Multi-channel, multi-LOB</w:t>
            </w:r>
          </w:p>
        </w:tc>
        <w:tc>
          <w:tcPr>
            <w:tcW w:w="4343" w:type="dxa"/>
          </w:tcPr>
          <w:p w14:paraId="0B91D5A4" w14:textId="77777777" w:rsidR="009F6F9F" w:rsidRDefault="00000000">
            <w:pPr>
              <w:pStyle w:val="Compact"/>
            </w:pPr>
            <w:r>
              <w:t>Fax OCR, legacy data, LOB configuration</w:t>
            </w:r>
          </w:p>
        </w:tc>
      </w:tr>
      <w:tr w:rsidR="009F6F9F" w14:paraId="21D2BAE3" w14:textId="77777777">
        <w:tc>
          <w:tcPr>
            <w:tcW w:w="1788" w:type="dxa"/>
          </w:tcPr>
          <w:p w14:paraId="2B608D33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Phase 3: Enterprise</w:t>
            </w:r>
          </w:p>
        </w:tc>
        <w:tc>
          <w:tcPr>
            <w:tcW w:w="1788" w:type="dxa"/>
          </w:tcPr>
          <w:p w14:paraId="32159F3E" w14:textId="77777777" w:rsidR="009F6F9F" w:rsidRDefault="00000000">
            <w:pPr>
              <w:pStyle w:val="Compact"/>
            </w:pPr>
            <w:r>
              <w:t>Full scale, compliance</w:t>
            </w:r>
          </w:p>
        </w:tc>
        <w:tc>
          <w:tcPr>
            <w:tcW w:w="4343" w:type="dxa"/>
          </w:tcPr>
          <w:p w14:paraId="028ACC78" w14:textId="77777777" w:rsidR="009F6F9F" w:rsidRDefault="00000000">
            <w:pPr>
              <w:pStyle w:val="Compact"/>
            </w:pPr>
            <w:r>
              <w:t>All channels, 20 LOBs, CMS reporting</w:t>
            </w:r>
          </w:p>
        </w:tc>
      </w:tr>
    </w:tbl>
    <w:p w14:paraId="2C585F26" w14:textId="77777777" w:rsidR="009F6F9F" w:rsidRDefault="00000000">
      <w:pPr>
        <w:pStyle w:val="BodyText"/>
      </w:pPr>
      <w:r>
        <w:t>Each phase produces a deployable, demonstrable system. Decision gates between phases use real performance data to scope the next phase.</w:t>
      </w:r>
    </w:p>
    <w:p w14:paraId="554706A0" w14:textId="77777777" w:rsidR="009F6F9F" w:rsidRDefault="00000000">
      <w:r>
        <w:pict w14:anchorId="5ECAFA47">
          <v:rect id="_x0000_i1034" style="width:0;height:1.5pt" o:hralign="center" o:hrstd="t" o:hr="t"/>
        </w:pict>
      </w:r>
    </w:p>
    <w:p w14:paraId="20D60F74" w14:textId="77777777" w:rsidR="009F6F9F" w:rsidRDefault="00000000">
      <w:pPr>
        <w:pStyle w:val="Heading2"/>
      </w:pPr>
      <w:bookmarkStart w:id="13" w:name="slide-10-discussion-starters"/>
      <w:bookmarkEnd w:id="12"/>
      <w:r>
        <w:t>Slide 10: Discussion Starters</w:t>
      </w:r>
    </w:p>
    <w:p w14:paraId="4F1B9B20" w14:textId="77777777" w:rsidR="009F6F9F" w:rsidRDefault="00000000">
      <w:pPr>
        <w:pStyle w:val="FirstParagraph"/>
      </w:pPr>
      <w:r>
        <w:rPr>
          <w:b/>
          <w:bCs/>
        </w:rPr>
        <w:t>Business Strategy:</w:t>
      </w:r>
    </w:p>
    <w:p w14:paraId="711AE720" w14:textId="77777777" w:rsidR="009F6F9F" w:rsidRDefault="00000000">
      <w:pPr>
        <w:pStyle w:val="Compact"/>
        <w:numPr>
          <w:ilvl w:val="0"/>
          <w:numId w:val="7"/>
        </w:numPr>
      </w:pPr>
      <w:r>
        <w:t>How does the ServiceNow partnership change the payer integration strategy?</w:t>
      </w:r>
    </w:p>
    <w:p w14:paraId="3021A1EC" w14:textId="77777777" w:rsidR="009F6F9F" w:rsidRDefault="00000000">
      <w:pPr>
        <w:pStyle w:val="Compact"/>
        <w:numPr>
          <w:ilvl w:val="0"/>
          <w:numId w:val="7"/>
        </w:numPr>
      </w:pPr>
      <w:r>
        <w:t>What is the target auto-determination rate for Phase 1?</w:t>
      </w:r>
    </w:p>
    <w:p w14:paraId="154DB8C6" w14:textId="77777777" w:rsidR="009F6F9F" w:rsidRDefault="00000000">
      <w:pPr>
        <w:pStyle w:val="FirstParagraph"/>
      </w:pPr>
      <w:r>
        <w:rPr>
          <w:b/>
          <w:bCs/>
        </w:rPr>
        <w:t>Technical Depth:</w:t>
      </w:r>
    </w:p>
    <w:p w14:paraId="61B635D5" w14:textId="77777777" w:rsidR="009F6F9F" w:rsidRDefault="00000000">
      <w:pPr>
        <w:pStyle w:val="Compact"/>
        <w:numPr>
          <w:ilvl w:val="0"/>
          <w:numId w:val="8"/>
        </w:numPr>
      </w:pPr>
      <w:r>
        <w:t>How does the Genesis Platform handle coverage criteria updates?</w:t>
      </w:r>
    </w:p>
    <w:p w14:paraId="263C052C" w14:textId="77777777" w:rsidR="009F6F9F" w:rsidRDefault="00000000">
      <w:pPr>
        <w:pStyle w:val="Compact"/>
        <w:numPr>
          <w:ilvl w:val="0"/>
          <w:numId w:val="8"/>
        </w:numPr>
      </w:pPr>
      <w:r>
        <w:t>What’s the Azure AI Foundry Agent Service integration status?</w:t>
      </w:r>
    </w:p>
    <w:p w14:paraId="679F25D3" w14:textId="77777777" w:rsidR="009F6F9F" w:rsidRDefault="00000000">
      <w:pPr>
        <w:pStyle w:val="FirstParagraph"/>
      </w:pPr>
      <w:r>
        <w:rPr>
          <w:b/>
          <w:bCs/>
        </w:rPr>
        <w:t>Implementation:</w:t>
      </w:r>
    </w:p>
    <w:p w14:paraId="5F7AFC5F" w14:textId="77777777" w:rsidR="009F6F9F" w:rsidRDefault="00000000">
      <w:pPr>
        <w:pStyle w:val="Compact"/>
        <w:numPr>
          <w:ilvl w:val="0"/>
          <w:numId w:val="9"/>
        </w:numPr>
      </w:pPr>
      <w:r>
        <w:t>Which LOB is the ideal Phase 1 candidate?</w:t>
      </w:r>
    </w:p>
    <w:p w14:paraId="0C30B7DC" w14:textId="77777777" w:rsidR="009F6F9F" w:rsidRDefault="00000000">
      <w:pPr>
        <w:pStyle w:val="Compact"/>
        <w:numPr>
          <w:ilvl w:val="0"/>
          <w:numId w:val="9"/>
        </w:numPr>
      </w:pPr>
      <w:r>
        <w:t>What’s been the biggest integration challenge with existing payer deployments?</w:t>
      </w:r>
    </w:p>
    <w:p w14:paraId="440A2340" w14:textId="77777777" w:rsidR="009F6F9F" w:rsidRDefault="00000000">
      <w:r>
        <w:pict w14:anchorId="2BF05E9F">
          <v:rect id="_x0000_i1035" style="width:0;height:1.5pt" o:hralign="center" o:hrstd="t" o:hr="t"/>
        </w:pict>
      </w:r>
    </w:p>
    <w:p w14:paraId="53F72E28" w14:textId="77777777" w:rsidR="009F6F9F" w:rsidRDefault="00000000">
      <w:pPr>
        <w:pStyle w:val="Heading2"/>
      </w:pPr>
      <w:bookmarkStart w:id="14" w:name="appendix"/>
      <w:bookmarkEnd w:id="13"/>
      <w:r>
        <w:t>Appendix</w:t>
      </w:r>
    </w:p>
    <w:p w14:paraId="4CB2A18D" w14:textId="77777777" w:rsidR="009F6F9F" w:rsidRDefault="00000000">
      <w:pPr>
        <w:pStyle w:val="Heading3"/>
      </w:pPr>
      <w:bookmarkStart w:id="15" w:name="appendix-a-clinical-data-integration"/>
      <w:r>
        <w:t>Appendix A: Clinical Data Integration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4"/>
        <w:gridCol w:w="2523"/>
        <w:gridCol w:w="3023"/>
      </w:tblGrid>
      <w:tr w:rsidR="009F6F9F" w14:paraId="199D0198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EC8313" w14:textId="77777777" w:rsidR="009F6F9F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3B6D5C79" w14:textId="77777777" w:rsidR="009F6F9F" w:rsidRDefault="00000000">
            <w:pPr>
              <w:pStyle w:val="Compact"/>
            </w:pPr>
            <w:r>
              <w:t>Protocol</w:t>
            </w:r>
          </w:p>
        </w:tc>
        <w:tc>
          <w:tcPr>
            <w:tcW w:w="0" w:type="auto"/>
          </w:tcPr>
          <w:p w14:paraId="6D816F70" w14:textId="77777777" w:rsidR="009F6F9F" w:rsidRDefault="00000000">
            <w:pPr>
              <w:pStyle w:val="Compact"/>
            </w:pPr>
            <w:r>
              <w:t>Auth</w:t>
            </w:r>
          </w:p>
        </w:tc>
      </w:tr>
      <w:tr w:rsidR="009F6F9F" w14:paraId="77C98552" w14:textId="77777777">
        <w:tc>
          <w:tcPr>
            <w:tcW w:w="0" w:type="auto"/>
          </w:tcPr>
          <w:p w14:paraId="3752D8E5" w14:textId="77777777" w:rsidR="009F6F9F" w:rsidRDefault="00000000">
            <w:pPr>
              <w:pStyle w:val="Compact"/>
            </w:pPr>
            <w:r>
              <w:t>Modern EMRs</w:t>
            </w:r>
          </w:p>
        </w:tc>
        <w:tc>
          <w:tcPr>
            <w:tcW w:w="0" w:type="auto"/>
          </w:tcPr>
          <w:p w14:paraId="00579745" w14:textId="77777777" w:rsidR="009F6F9F" w:rsidRDefault="00000000">
            <w:pPr>
              <w:pStyle w:val="Compact"/>
            </w:pPr>
            <w:r>
              <w:t>FHIR R4 REST API</w:t>
            </w:r>
          </w:p>
        </w:tc>
        <w:tc>
          <w:tcPr>
            <w:tcW w:w="0" w:type="auto"/>
          </w:tcPr>
          <w:p w14:paraId="3B52EFE2" w14:textId="77777777" w:rsidR="009F6F9F" w:rsidRDefault="00000000">
            <w:pPr>
              <w:pStyle w:val="Compact"/>
            </w:pPr>
            <w:r>
              <w:t>OAuth 2.0 / SMART on FHIR</w:t>
            </w:r>
          </w:p>
        </w:tc>
      </w:tr>
      <w:tr w:rsidR="009F6F9F" w14:paraId="67C92C99" w14:textId="77777777">
        <w:tc>
          <w:tcPr>
            <w:tcW w:w="0" w:type="auto"/>
          </w:tcPr>
          <w:p w14:paraId="090C8950" w14:textId="77777777" w:rsidR="009F6F9F" w:rsidRDefault="00000000">
            <w:pPr>
              <w:pStyle w:val="Compact"/>
            </w:pPr>
            <w:r>
              <w:t>Legacy DB Connector</w:t>
            </w:r>
          </w:p>
        </w:tc>
        <w:tc>
          <w:tcPr>
            <w:tcW w:w="0" w:type="auto"/>
          </w:tcPr>
          <w:p w14:paraId="40FC728B" w14:textId="77777777" w:rsidR="009F6F9F" w:rsidRDefault="00000000">
            <w:pPr>
              <w:pStyle w:val="Compact"/>
            </w:pPr>
            <w:r>
              <w:t>DB connector / HL7 v2</w:t>
            </w:r>
          </w:p>
        </w:tc>
        <w:tc>
          <w:tcPr>
            <w:tcW w:w="0" w:type="auto"/>
          </w:tcPr>
          <w:p w14:paraId="2FC305FB" w14:textId="77777777" w:rsidR="009F6F9F" w:rsidRDefault="00000000">
            <w:pPr>
              <w:pStyle w:val="Compact"/>
            </w:pPr>
            <w:r>
              <w:t>Service account + VNet</w:t>
            </w:r>
          </w:p>
        </w:tc>
      </w:tr>
    </w:tbl>
    <w:p w14:paraId="2BC0CF30" w14:textId="77777777" w:rsidR="009F6F9F" w:rsidRDefault="00000000">
      <w:pPr>
        <w:pStyle w:val="BodyText"/>
      </w:pPr>
      <w:r>
        <w:rPr>
          <w:b/>
          <w:bCs/>
        </w:rPr>
        <w:t>FHIR R4 role:</w:t>
      </w:r>
      <w:r>
        <w:t xml:space="preserve"> Interoperability standard for clinical data exchange. Modern sources expose it natively. Legacy data normalized to FHIR-compatible format before AI processing. Deep FHIR implementation is a discovery-phase activity with the implementation team.</w:t>
      </w:r>
    </w:p>
    <w:p w14:paraId="1ED9239B" w14:textId="77777777" w:rsidR="009F6F9F" w:rsidRDefault="00000000">
      <w:pPr>
        <w:pStyle w:val="BodyText"/>
      </w:pPr>
      <w:r>
        <w:rPr>
          <w:b/>
          <w:bCs/>
        </w:rPr>
        <w:t>Security boundary:</w:t>
      </w:r>
      <w:r>
        <w:t xml:space="preserve"> All clinical data passes through PHI tokenization layer before reaching the AI engine.</w:t>
      </w:r>
    </w:p>
    <w:p w14:paraId="0B37A982" w14:textId="77777777" w:rsidR="009F6F9F" w:rsidRDefault="00000000">
      <w:pPr>
        <w:pStyle w:val="Heading3"/>
      </w:pPr>
      <w:bookmarkStart w:id="16" w:name="appendix-b-ai-model-monitoring-feedback"/>
      <w:bookmarkEnd w:id="15"/>
      <w:r>
        <w:t>Appendix B: AI Model Monitoring &amp; Feedback</w:t>
      </w:r>
    </w:p>
    <w:p w14:paraId="716E9C8B" w14:textId="77777777" w:rsidR="009F6F9F" w:rsidRDefault="00000000">
      <w:pPr>
        <w:pStyle w:val="FirstParagraph"/>
      </w:pPr>
      <w:r>
        <w:rPr>
          <w:b/>
          <w:bCs/>
        </w:rPr>
        <w:t>Detect drift:</w:t>
      </w:r>
    </w:p>
    <w:p w14:paraId="3B7862CD" w14:textId="77777777" w:rsidR="009F6F9F" w:rsidRDefault="00000000">
      <w:pPr>
        <w:pStyle w:val="Compact"/>
        <w:numPr>
          <w:ilvl w:val="0"/>
          <w:numId w:val="10"/>
        </w:numPr>
      </w:pPr>
      <w:r>
        <w:t>Outcome monitoring — track overturn rate (human overrides AI), appeal rate, accuracy trends</w:t>
      </w:r>
    </w:p>
    <w:p w14:paraId="1473384E" w14:textId="77777777" w:rsidR="009F6F9F" w:rsidRDefault="00000000">
      <w:pPr>
        <w:pStyle w:val="Compact"/>
        <w:numPr>
          <w:ilvl w:val="0"/>
          <w:numId w:val="10"/>
        </w:numPr>
      </w:pPr>
      <w:r>
        <w:t>Automated evals — golden test cases benchmarked on schedule</w:t>
      </w:r>
    </w:p>
    <w:p w14:paraId="2343B60B" w14:textId="77777777" w:rsidR="009F6F9F" w:rsidRDefault="00000000">
      <w:pPr>
        <w:pStyle w:val="Compact"/>
        <w:numPr>
          <w:ilvl w:val="0"/>
          <w:numId w:val="10"/>
        </w:numPr>
      </w:pPr>
      <w:r>
        <w:t>Confidence distribution — shifts signal model or data changes</w:t>
      </w:r>
    </w:p>
    <w:p w14:paraId="77AB9630" w14:textId="77777777" w:rsidR="009F6F9F" w:rsidRDefault="00000000">
      <w:pPr>
        <w:pStyle w:val="FirstParagraph"/>
      </w:pPr>
      <w:r>
        <w:rPr>
          <w:b/>
          <w:bCs/>
        </w:rPr>
        <w:t>Feedback loop:</w:t>
      </w:r>
    </w:p>
    <w:p w14:paraId="0CADB99C" w14:textId="77777777" w:rsidR="009F6F9F" w:rsidRDefault="00000000">
      <w:pPr>
        <w:pStyle w:val="Compact"/>
        <w:numPr>
          <w:ilvl w:val="0"/>
          <w:numId w:val="11"/>
        </w:numPr>
      </w:pPr>
      <w:r>
        <w:t>Human reviewer corrections → updated eval dataset</w:t>
      </w:r>
    </w:p>
    <w:p w14:paraId="7FB6470C" w14:textId="77777777" w:rsidR="009F6F9F" w:rsidRDefault="00000000">
      <w:pPr>
        <w:pStyle w:val="Compact"/>
        <w:numPr>
          <w:ilvl w:val="0"/>
          <w:numId w:val="11"/>
        </w:numPr>
      </w:pPr>
      <w:r>
        <w:t>Eval dataset → benchmark new model versions vs current</w:t>
      </w:r>
    </w:p>
    <w:p w14:paraId="0ED08C1A" w14:textId="77777777" w:rsidR="009F6F9F" w:rsidRDefault="00000000">
      <w:pPr>
        <w:pStyle w:val="Compact"/>
        <w:numPr>
          <w:ilvl w:val="0"/>
          <w:numId w:val="11"/>
        </w:numPr>
      </w:pPr>
      <w:r>
        <w:t>If improved → staged blue-green rollout</w:t>
      </w:r>
    </w:p>
    <w:p w14:paraId="719B74EB" w14:textId="77777777" w:rsidR="009F6F9F" w:rsidRDefault="00000000">
      <w:pPr>
        <w:pStyle w:val="Compact"/>
        <w:numPr>
          <w:ilvl w:val="0"/>
          <w:numId w:val="11"/>
        </w:numPr>
      </w:pPr>
      <w:r>
        <w:t>Guardrails always active: input filtering, output validation, clinical safety</w:t>
      </w:r>
    </w:p>
    <w:p w14:paraId="73E15367" w14:textId="77777777" w:rsidR="009F6F9F" w:rsidRDefault="00000000">
      <w:pPr>
        <w:pStyle w:val="Heading3"/>
      </w:pPr>
      <w:bookmarkStart w:id="17" w:name="appendix-c-scaling-to-20-lobs"/>
      <w:bookmarkEnd w:id="16"/>
      <w:r>
        <w:t>Appendix C: Scaling to 20 LOBs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4"/>
        <w:gridCol w:w="899"/>
        <w:gridCol w:w="1118"/>
        <w:gridCol w:w="1393"/>
      </w:tblGrid>
      <w:tr w:rsidR="009F6F9F" w14:paraId="7230F20C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99653" w14:textId="77777777" w:rsidR="009F6F9F" w:rsidRDefault="00000000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14:paraId="7018A406" w14:textId="77777777" w:rsidR="009F6F9F" w:rsidRDefault="00000000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14:paraId="7C596B05" w14:textId="77777777" w:rsidR="009F6F9F" w:rsidRDefault="00000000">
            <w:pPr>
              <w:pStyle w:val="Compact"/>
            </w:pPr>
            <w:r>
              <w:t>Isolation</w:t>
            </w:r>
          </w:p>
        </w:tc>
        <w:tc>
          <w:tcPr>
            <w:tcW w:w="0" w:type="auto"/>
          </w:tcPr>
          <w:p w14:paraId="0D6B8DF0" w14:textId="77777777" w:rsidR="009F6F9F" w:rsidRDefault="00000000">
            <w:pPr>
              <w:pStyle w:val="Compact"/>
            </w:pPr>
            <w:r>
              <w:t>Complexity</w:t>
            </w:r>
          </w:p>
        </w:tc>
      </w:tr>
      <w:tr w:rsidR="009F6F9F" w14:paraId="36AC1F92" w14:textId="77777777">
        <w:tc>
          <w:tcPr>
            <w:tcW w:w="0" w:type="auto"/>
          </w:tcPr>
          <w:p w14:paraId="5AC2A999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Multi-tenant</w:t>
            </w:r>
          </w:p>
        </w:tc>
        <w:tc>
          <w:tcPr>
            <w:tcW w:w="0" w:type="auto"/>
          </w:tcPr>
          <w:p w14:paraId="78F13A81" w14:textId="77777777" w:rsidR="009F6F9F" w:rsidRDefault="00000000">
            <w:pPr>
              <w:pStyle w:val="Compact"/>
            </w:pPr>
            <w:r>
              <w:t>Lower</w:t>
            </w:r>
          </w:p>
        </w:tc>
        <w:tc>
          <w:tcPr>
            <w:tcW w:w="0" w:type="auto"/>
          </w:tcPr>
          <w:p w14:paraId="595E6497" w14:textId="77777777" w:rsidR="009F6F9F" w:rsidRDefault="00000000">
            <w:pPr>
              <w:pStyle w:val="Compact"/>
            </w:pPr>
            <w:r>
              <w:t>Logical</w:t>
            </w:r>
          </w:p>
        </w:tc>
        <w:tc>
          <w:tcPr>
            <w:tcW w:w="0" w:type="auto"/>
          </w:tcPr>
          <w:p w14:paraId="1545ED45" w14:textId="77777777" w:rsidR="009F6F9F" w:rsidRDefault="00000000">
            <w:pPr>
              <w:pStyle w:val="Compact"/>
            </w:pPr>
            <w:r>
              <w:t>Lower</w:t>
            </w:r>
          </w:p>
        </w:tc>
      </w:tr>
      <w:tr w:rsidR="009F6F9F" w14:paraId="5B2116A5" w14:textId="77777777">
        <w:tc>
          <w:tcPr>
            <w:tcW w:w="0" w:type="auto"/>
          </w:tcPr>
          <w:p w14:paraId="04440407" w14:textId="77777777" w:rsidR="009F6F9F" w:rsidRDefault="00000000">
            <w:pPr>
              <w:pStyle w:val="Compact"/>
            </w:pPr>
            <w:r>
              <w:rPr>
                <w:b/>
                <w:bCs/>
              </w:rPr>
              <w:t>Multi-instance</w:t>
            </w:r>
          </w:p>
        </w:tc>
        <w:tc>
          <w:tcPr>
            <w:tcW w:w="0" w:type="auto"/>
          </w:tcPr>
          <w:p w14:paraId="405B27CE" w14:textId="77777777" w:rsidR="009F6F9F" w:rsidRDefault="00000000">
            <w:pPr>
              <w:pStyle w:val="Compact"/>
            </w:pPr>
            <w:r>
              <w:t>Higher</w:t>
            </w:r>
          </w:p>
        </w:tc>
        <w:tc>
          <w:tcPr>
            <w:tcW w:w="0" w:type="auto"/>
          </w:tcPr>
          <w:p w14:paraId="0412EA93" w14:textId="77777777" w:rsidR="009F6F9F" w:rsidRDefault="00000000">
            <w:pPr>
              <w:pStyle w:val="Compact"/>
            </w:pPr>
            <w:r>
              <w:t>Physical</w:t>
            </w:r>
          </w:p>
        </w:tc>
        <w:tc>
          <w:tcPr>
            <w:tcW w:w="0" w:type="auto"/>
          </w:tcPr>
          <w:p w14:paraId="64BDA99F" w14:textId="77777777" w:rsidR="009F6F9F" w:rsidRDefault="00000000">
            <w:pPr>
              <w:pStyle w:val="Compact"/>
            </w:pPr>
            <w:r>
              <w:t>Higher</w:t>
            </w:r>
          </w:p>
        </w:tc>
      </w:tr>
    </w:tbl>
    <w:p w14:paraId="1F6EA8A3" w14:textId="77777777" w:rsidR="009F6F9F" w:rsidRDefault="00000000">
      <w:pPr>
        <w:pStyle w:val="BodyText"/>
      </w:pPr>
      <w:r>
        <w:rPr>
          <w:b/>
          <w:bCs/>
        </w:rPr>
        <w:t>Recommendation:</w:t>
      </w:r>
      <w:r>
        <w:t xml:space="preserve"> Start multi-tenant with per-LOB configuration. Autonomize Genesis Platform already supports it. Deploy separate instances only where regulation requires physical isolation.</w:t>
      </w:r>
    </w:p>
    <w:p w14:paraId="73482FE2" w14:textId="77777777" w:rsidR="009F6F9F" w:rsidRDefault="00000000">
      <w:pPr>
        <w:pStyle w:val="BodyText"/>
      </w:pPr>
      <w:r>
        <w:rPr>
          <w:b/>
          <w:bCs/>
        </w:rPr>
        <w:t>Honest unknowns:</w:t>
      </w:r>
      <w:r>
        <w:t xml:space="preserve"> The right answer depends on actual LOB rule complexity and regulatory requirements — both are discovery questions.</w:t>
      </w:r>
    </w:p>
    <w:p w14:paraId="3361D38F" w14:textId="77777777" w:rsidR="009F6F9F" w:rsidRDefault="00000000">
      <w:r>
        <w:pict w14:anchorId="3F6AB1A9">
          <v:rect id="_x0000_i1036" style="width:0;height:1.5pt" o:hralign="center" o:hrstd="t" o:hr="t"/>
        </w:pict>
      </w:r>
    </w:p>
    <w:p w14:paraId="4AFDE280" w14:textId="77777777" w:rsidR="009F6F9F" w:rsidRDefault="00000000">
      <w:pPr>
        <w:pStyle w:val="Heading2"/>
      </w:pPr>
      <w:bookmarkStart w:id="18" w:name="sources"/>
      <w:bookmarkEnd w:id="14"/>
      <w:bookmarkEnd w:id="17"/>
      <w:r>
        <w:t>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8"/>
        <w:gridCol w:w="2463"/>
        <w:gridCol w:w="2956"/>
        <w:gridCol w:w="2463"/>
      </w:tblGrid>
      <w:tr w:rsidR="009F6F9F" w14:paraId="7B97815A" w14:textId="77777777" w:rsidTr="009F6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08E72245" w14:textId="77777777" w:rsidR="009F6F9F" w:rsidRDefault="00000000">
            <w:pPr>
              <w:pStyle w:val="Compact"/>
            </w:pPr>
            <w:r>
              <w:t>#</w:t>
            </w:r>
          </w:p>
        </w:tc>
        <w:tc>
          <w:tcPr>
            <w:tcW w:w="2084" w:type="dxa"/>
          </w:tcPr>
          <w:p w14:paraId="261A5569" w14:textId="77777777" w:rsidR="009F6F9F" w:rsidRDefault="00000000">
            <w:pPr>
              <w:pStyle w:val="Compact"/>
            </w:pPr>
            <w:r>
              <w:t>Claim</w:t>
            </w:r>
          </w:p>
        </w:tc>
        <w:tc>
          <w:tcPr>
            <w:tcW w:w="2501" w:type="dxa"/>
          </w:tcPr>
          <w:p w14:paraId="5B4B544A" w14:textId="77777777" w:rsidR="009F6F9F" w:rsidRDefault="00000000">
            <w:pPr>
              <w:pStyle w:val="Compact"/>
            </w:pPr>
            <w:r>
              <w:t>Source</w:t>
            </w:r>
          </w:p>
        </w:tc>
        <w:tc>
          <w:tcPr>
            <w:tcW w:w="2084" w:type="dxa"/>
          </w:tcPr>
          <w:p w14:paraId="73ED8F18" w14:textId="77777777" w:rsidR="009F6F9F" w:rsidRDefault="00000000">
            <w:pPr>
              <w:pStyle w:val="Compact"/>
            </w:pPr>
            <w:r>
              <w:t>Notes</w:t>
            </w:r>
          </w:p>
        </w:tc>
      </w:tr>
      <w:tr w:rsidR="009F6F9F" w14:paraId="38535D83" w14:textId="77777777">
        <w:tc>
          <w:tcPr>
            <w:tcW w:w="1250" w:type="dxa"/>
          </w:tcPr>
          <w:p w14:paraId="7E4A60CA" w14:textId="77777777" w:rsidR="009F6F9F" w:rsidRDefault="00000000">
            <w:pPr>
              <w:pStyle w:val="Compact"/>
            </w:pPr>
            <w:r>
              <w:t>1</w:t>
            </w:r>
          </w:p>
        </w:tc>
        <w:tc>
          <w:tcPr>
            <w:tcW w:w="2084" w:type="dxa"/>
          </w:tcPr>
          <w:p w14:paraId="06701268" w14:textId="77777777" w:rsidR="009F6F9F" w:rsidRDefault="00000000">
            <w:pPr>
              <w:pStyle w:val="Compact"/>
            </w:pPr>
            <w:r>
              <w:t>$10.97 manual PA labor cost (provider)</w:t>
            </w:r>
          </w:p>
        </w:tc>
        <w:tc>
          <w:tcPr>
            <w:tcW w:w="2501" w:type="dxa"/>
          </w:tcPr>
          <w:p w14:paraId="147EDE59" w14:textId="77777777" w:rsidR="009F6F9F" w:rsidRDefault="00000000">
            <w:pPr>
              <w:pStyle w:val="Compact"/>
            </w:pPr>
            <w:hyperlink r:id="rId17">
              <w:r>
                <w:rPr>
                  <w:rStyle w:val="Hyperlink"/>
                </w:rPr>
                <w:t>2024 CAQH Index, p. 9</w:t>
              </w:r>
            </w:hyperlink>
          </w:p>
        </w:tc>
        <w:tc>
          <w:tcPr>
            <w:tcW w:w="2084" w:type="dxa"/>
          </w:tcPr>
          <w:p w14:paraId="6224C982" w14:textId="77777777" w:rsidR="009F6F9F" w:rsidRDefault="00000000">
            <w:pPr>
              <w:pStyle w:val="Compact"/>
            </w:pPr>
            <w:r>
              <w:t>Prior Authorization row; weighted avg labor cost (salaries + benefits + overhead) per manual transaction; excludes system costs</w:t>
            </w:r>
          </w:p>
        </w:tc>
      </w:tr>
      <w:tr w:rsidR="009F6F9F" w14:paraId="31E22234" w14:textId="77777777">
        <w:tc>
          <w:tcPr>
            <w:tcW w:w="1250" w:type="dxa"/>
          </w:tcPr>
          <w:p w14:paraId="713749E5" w14:textId="77777777" w:rsidR="009F6F9F" w:rsidRDefault="00000000">
            <w:pPr>
              <w:pStyle w:val="Compact"/>
            </w:pPr>
            <w:r>
              <w:t>2</w:t>
            </w:r>
          </w:p>
        </w:tc>
        <w:tc>
          <w:tcPr>
            <w:tcW w:w="2084" w:type="dxa"/>
          </w:tcPr>
          <w:p w14:paraId="711AD830" w14:textId="77777777" w:rsidR="009F6F9F" w:rsidRDefault="00000000">
            <w:pPr>
              <w:pStyle w:val="Compact"/>
            </w:pPr>
            <w:r>
              <w:t>$3.52 manual PA labor cost (payer)</w:t>
            </w:r>
          </w:p>
        </w:tc>
        <w:tc>
          <w:tcPr>
            <w:tcW w:w="2501" w:type="dxa"/>
          </w:tcPr>
          <w:p w14:paraId="2DE4AF56" w14:textId="77777777" w:rsidR="009F6F9F" w:rsidRDefault="00000000">
            <w:pPr>
              <w:pStyle w:val="Compact"/>
            </w:pPr>
            <w:hyperlink r:id="rId18">
              <w:r>
                <w:rPr>
                  <w:rStyle w:val="Hyperlink"/>
                </w:rPr>
                <w:t>2024 CAQH Index, p. 9</w:t>
              </w:r>
            </w:hyperlink>
          </w:p>
        </w:tc>
        <w:tc>
          <w:tcPr>
            <w:tcW w:w="2084" w:type="dxa"/>
          </w:tcPr>
          <w:p w14:paraId="3927407F" w14:textId="77777777" w:rsidR="009F6F9F" w:rsidRDefault="00000000">
            <w:pPr>
              <w:pStyle w:val="Compact"/>
            </w:pPr>
            <w:r>
              <w:t>Prior Authorization row; weighted avg labor cost per manual transaction, health plan side</w:t>
            </w:r>
          </w:p>
        </w:tc>
      </w:tr>
      <w:tr w:rsidR="009F6F9F" w14:paraId="07CAAA0B" w14:textId="77777777">
        <w:tc>
          <w:tcPr>
            <w:tcW w:w="1250" w:type="dxa"/>
          </w:tcPr>
          <w:p w14:paraId="4B46E51B" w14:textId="77777777" w:rsidR="009F6F9F" w:rsidRDefault="00000000">
            <w:pPr>
              <w:pStyle w:val="Compact"/>
            </w:pPr>
            <w:r>
              <w:t>3</w:t>
            </w:r>
          </w:p>
        </w:tc>
        <w:tc>
          <w:tcPr>
            <w:tcW w:w="2084" w:type="dxa"/>
          </w:tcPr>
          <w:p w14:paraId="79D009D5" w14:textId="77777777" w:rsidR="009F6F9F" w:rsidRDefault="00000000">
            <w:pPr>
              <w:pStyle w:val="Compact"/>
            </w:pPr>
            <w:r>
              <w:t>~$0.05 electronic PA cost (payer)</w:t>
            </w:r>
          </w:p>
        </w:tc>
        <w:tc>
          <w:tcPr>
            <w:tcW w:w="2501" w:type="dxa"/>
          </w:tcPr>
          <w:p w14:paraId="3D162617" w14:textId="77777777" w:rsidR="009F6F9F" w:rsidRDefault="00000000">
            <w:pPr>
              <w:pStyle w:val="Compact"/>
            </w:pPr>
            <w:hyperlink r:id="rId19">
              <w:r>
                <w:rPr>
                  <w:rStyle w:val="Hyperlink"/>
                </w:rPr>
                <w:t>2024 CAQH Index, p. 9</w:t>
              </w:r>
            </w:hyperlink>
          </w:p>
        </w:tc>
        <w:tc>
          <w:tcPr>
            <w:tcW w:w="2084" w:type="dxa"/>
          </w:tcPr>
          <w:p w14:paraId="15C027FC" w14:textId="77777777" w:rsidR="009F6F9F" w:rsidRDefault="00000000">
            <w:pPr>
              <w:pStyle w:val="Compact"/>
            </w:pPr>
            <w:r>
              <w:t>Fully electronic transaction cost</w:t>
            </w:r>
          </w:p>
        </w:tc>
      </w:tr>
      <w:tr w:rsidR="009F6F9F" w14:paraId="4BC253B3" w14:textId="77777777">
        <w:tc>
          <w:tcPr>
            <w:tcW w:w="1250" w:type="dxa"/>
          </w:tcPr>
          <w:p w14:paraId="04EA2405" w14:textId="77777777" w:rsidR="009F6F9F" w:rsidRDefault="00000000">
            <w:pPr>
              <w:pStyle w:val="Compact"/>
            </w:pPr>
            <w:r>
              <w:t>4</w:t>
            </w:r>
          </w:p>
        </w:tc>
        <w:tc>
          <w:tcPr>
            <w:tcW w:w="2084" w:type="dxa"/>
          </w:tcPr>
          <w:p w14:paraId="257473E3" w14:textId="77777777" w:rsidR="009F6F9F" w:rsidRDefault="00000000">
            <w:pPr>
              <w:pStyle w:val="Compact"/>
            </w:pPr>
            <w:r>
              <w:t>45% PA review time reduction</w:t>
            </w:r>
          </w:p>
        </w:tc>
        <w:tc>
          <w:tcPr>
            <w:tcW w:w="2501" w:type="dxa"/>
          </w:tcPr>
          <w:p w14:paraId="7F8E9B69" w14:textId="77777777" w:rsidR="009F6F9F" w:rsidRDefault="00000000">
            <w:pPr>
              <w:pStyle w:val="Compact"/>
            </w:pPr>
            <w:hyperlink r:id="rId20">
              <w:r>
                <w:rPr>
                  <w:rStyle w:val="Hyperlink"/>
                </w:rPr>
                <w:t>Altais + Autonomize AI press release (Feb 2026)</w:t>
              </w:r>
            </w:hyperlink>
          </w:p>
        </w:tc>
        <w:tc>
          <w:tcPr>
            <w:tcW w:w="2084" w:type="dxa"/>
          </w:tcPr>
          <w:p w14:paraId="1CED0415" w14:textId="77777777" w:rsidR="009F6F9F" w:rsidRDefault="00000000">
            <w:pPr>
              <w:pStyle w:val="Compact"/>
            </w:pPr>
            <w:r>
              <w:t>Headline metric from joint press release</w:t>
            </w:r>
          </w:p>
        </w:tc>
      </w:tr>
      <w:tr w:rsidR="009F6F9F" w14:paraId="45A494A8" w14:textId="77777777">
        <w:tc>
          <w:tcPr>
            <w:tcW w:w="1250" w:type="dxa"/>
          </w:tcPr>
          <w:p w14:paraId="7911CB19" w14:textId="77777777" w:rsidR="009F6F9F" w:rsidRDefault="00000000">
            <w:pPr>
              <w:pStyle w:val="Compact"/>
            </w:pPr>
            <w:r>
              <w:t>5</w:t>
            </w:r>
          </w:p>
        </w:tc>
        <w:tc>
          <w:tcPr>
            <w:tcW w:w="2084" w:type="dxa"/>
          </w:tcPr>
          <w:p w14:paraId="3AA96C74" w14:textId="77777777" w:rsidR="009F6F9F" w:rsidRDefault="00000000">
            <w:pPr>
              <w:pStyle w:val="Compact"/>
            </w:pPr>
            <w:r>
              <w:t>54% manual error reduction</w:t>
            </w:r>
          </w:p>
        </w:tc>
        <w:tc>
          <w:tcPr>
            <w:tcW w:w="2501" w:type="dxa"/>
          </w:tcPr>
          <w:p w14:paraId="10B2670D" w14:textId="77777777" w:rsidR="009F6F9F" w:rsidRDefault="00000000">
            <w:pPr>
              <w:pStyle w:val="Compact"/>
            </w:pPr>
            <w:hyperlink r:id="rId21">
              <w:r>
                <w:rPr>
                  <w:rStyle w:val="Hyperlink"/>
                </w:rPr>
                <w:t>Altais + Autonomize AI press release (Feb 2026)</w:t>
              </w:r>
            </w:hyperlink>
          </w:p>
        </w:tc>
        <w:tc>
          <w:tcPr>
            <w:tcW w:w="2084" w:type="dxa"/>
          </w:tcPr>
          <w:p w14:paraId="27280716" w14:textId="77777777" w:rsidR="009F6F9F" w:rsidRDefault="00000000">
            <w:pPr>
              <w:pStyle w:val="Compact"/>
            </w:pPr>
            <w:r>
              <w:t>Headline metric from joint press release</w:t>
            </w:r>
          </w:p>
        </w:tc>
      </w:tr>
      <w:tr w:rsidR="009F6F9F" w14:paraId="3843D160" w14:textId="77777777">
        <w:tc>
          <w:tcPr>
            <w:tcW w:w="1250" w:type="dxa"/>
          </w:tcPr>
          <w:p w14:paraId="55E7DDAD" w14:textId="77777777" w:rsidR="009F6F9F" w:rsidRDefault="00000000">
            <w:pPr>
              <w:pStyle w:val="Compact"/>
            </w:pPr>
            <w:r>
              <w:t>6</w:t>
            </w:r>
          </w:p>
        </w:tc>
        <w:tc>
          <w:tcPr>
            <w:tcW w:w="2084" w:type="dxa"/>
          </w:tcPr>
          <w:p w14:paraId="3B301E39" w14:textId="77777777" w:rsidR="009F6F9F" w:rsidRDefault="00000000">
            <w:pPr>
              <w:pStyle w:val="Compact"/>
            </w:pPr>
            <w:r>
              <w:t>50% auto-determination rate</w:t>
            </w:r>
          </w:p>
        </w:tc>
        <w:tc>
          <w:tcPr>
            <w:tcW w:w="2501" w:type="dxa"/>
          </w:tcPr>
          <w:p w14:paraId="40044B85" w14:textId="77777777" w:rsidR="009F6F9F" w:rsidRDefault="00000000">
            <w:pPr>
              <w:pStyle w:val="Compact"/>
            </w:pPr>
            <w:hyperlink r:id="rId22">
              <w:r>
                <w:rPr>
                  <w:rStyle w:val="Hyperlink"/>
                </w:rPr>
                <w:t>Altais + Autonomize AI press release (Feb 2026)</w:t>
              </w:r>
            </w:hyperlink>
          </w:p>
        </w:tc>
        <w:tc>
          <w:tcPr>
            <w:tcW w:w="2084" w:type="dxa"/>
          </w:tcPr>
          <w:p w14:paraId="7FD20CD9" w14:textId="77777777" w:rsidR="009F6F9F" w:rsidRDefault="00000000">
            <w:pPr>
              <w:pStyle w:val="Compact"/>
            </w:pPr>
            <w:r>
              <w:t>Headline metric from joint press release</w:t>
            </w:r>
          </w:p>
        </w:tc>
      </w:tr>
      <w:tr w:rsidR="009F6F9F" w14:paraId="7C58F5A0" w14:textId="77777777">
        <w:tc>
          <w:tcPr>
            <w:tcW w:w="1250" w:type="dxa"/>
          </w:tcPr>
          <w:p w14:paraId="1CC4231F" w14:textId="77777777" w:rsidR="009F6F9F" w:rsidRDefault="00000000">
            <w:pPr>
              <w:pStyle w:val="Compact"/>
            </w:pPr>
            <w:r>
              <w:t>7</w:t>
            </w:r>
          </w:p>
        </w:tc>
        <w:tc>
          <w:tcPr>
            <w:tcW w:w="2084" w:type="dxa"/>
          </w:tcPr>
          <w:p w14:paraId="2B842E89" w14:textId="77777777" w:rsidR="009F6F9F" w:rsidRDefault="00000000">
            <w:pPr>
              <w:pStyle w:val="Compact"/>
            </w:pPr>
            <w:r>
              <w:t>93% of physicians say PA delays care</w:t>
            </w:r>
          </w:p>
        </w:tc>
        <w:tc>
          <w:tcPr>
            <w:tcW w:w="2501" w:type="dxa"/>
          </w:tcPr>
          <w:p w14:paraId="08FA022F" w14:textId="77777777" w:rsidR="009F6F9F" w:rsidRDefault="00000000">
            <w:pPr>
              <w:pStyle w:val="Compact"/>
            </w:pPr>
            <w:hyperlink r:id="rId23">
              <w:r>
                <w:rPr>
                  <w:rStyle w:val="Hyperlink"/>
                </w:rPr>
                <w:t>AMA 2024 Prior Authorization Survey, p. 5</w:t>
              </w:r>
            </w:hyperlink>
          </w:p>
        </w:tc>
        <w:tc>
          <w:tcPr>
            <w:tcW w:w="2084" w:type="dxa"/>
          </w:tcPr>
          <w:p w14:paraId="7A327254" w14:textId="77777777" w:rsidR="009F6F9F" w:rsidRDefault="00000000">
            <w:pPr>
              <w:pStyle w:val="Compact"/>
            </w:pPr>
            <w:r>
              <w:t>Survey of 1,000 practicing physicians, Dec 2024</w:t>
            </w:r>
          </w:p>
        </w:tc>
      </w:tr>
      <w:tr w:rsidR="009F6F9F" w14:paraId="2A6DA2A9" w14:textId="77777777">
        <w:tc>
          <w:tcPr>
            <w:tcW w:w="1250" w:type="dxa"/>
          </w:tcPr>
          <w:p w14:paraId="7BD3F7BA" w14:textId="77777777" w:rsidR="009F6F9F" w:rsidRDefault="00000000">
            <w:pPr>
              <w:pStyle w:val="Compact"/>
            </w:pPr>
            <w:r>
              <w:t>8</w:t>
            </w:r>
          </w:p>
        </w:tc>
        <w:tc>
          <w:tcPr>
            <w:tcW w:w="2084" w:type="dxa"/>
          </w:tcPr>
          <w:p w14:paraId="0DD39D79" w14:textId="77777777" w:rsidR="009F6F9F" w:rsidRDefault="00000000">
            <w:pPr>
              <w:pStyle w:val="Compact"/>
            </w:pPr>
            <w:r>
              <w:t>CMS-0057-F Phase 1 operational Jan 2026</w:t>
            </w:r>
          </w:p>
        </w:tc>
        <w:tc>
          <w:tcPr>
            <w:tcW w:w="2501" w:type="dxa"/>
          </w:tcPr>
          <w:p w14:paraId="0A4CEB06" w14:textId="77777777" w:rsidR="009F6F9F" w:rsidRDefault="00000000">
            <w:pPr>
              <w:pStyle w:val="Compact"/>
            </w:pPr>
            <w:hyperlink r:id="rId24">
              <w:r>
                <w:rPr>
                  <w:rStyle w:val="Hyperlink"/>
                </w:rPr>
                <w:t>CMS Interoperability &amp; Prior Authorization Final Rule Fact Sheet</w:t>
              </w:r>
            </w:hyperlink>
          </w:p>
        </w:tc>
        <w:tc>
          <w:tcPr>
            <w:tcW w:w="2084" w:type="dxa"/>
          </w:tcPr>
          <w:p w14:paraId="43E10445" w14:textId="77777777" w:rsidR="009F6F9F" w:rsidRDefault="00000000">
            <w:pPr>
              <w:pStyle w:val="Compact"/>
            </w:pPr>
            <w:r>
              <w:t>Operational provisions: decision timeframes, metrics reporting</w:t>
            </w:r>
          </w:p>
        </w:tc>
      </w:tr>
      <w:tr w:rsidR="009F6F9F" w14:paraId="2BAC2898" w14:textId="77777777">
        <w:tc>
          <w:tcPr>
            <w:tcW w:w="1250" w:type="dxa"/>
          </w:tcPr>
          <w:p w14:paraId="4B05EDD5" w14:textId="77777777" w:rsidR="009F6F9F" w:rsidRDefault="00000000">
            <w:pPr>
              <w:pStyle w:val="Compact"/>
            </w:pPr>
            <w:r>
              <w:t>9</w:t>
            </w:r>
          </w:p>
        </w:tc>
        <w:tc>
          <w:tcPr>
            <w:tcW w:w="2084" w:type="dxa"/>
          </w:tcPr>
          <w:p w14:paraId="3D81E650" w14:textId="77777777" w:rsidR="009F6F9F" w:rsidRDefault="00000000">
            <w:pPr>
              <w:pStyle w:val="Compact"/>
            </w:pPr>
            <w:r>
              <w:t>CMS-0057-F Phase 2 APIs due Jan 2027</w:t>
            </w:r>
          </w:p>
        </w:tc>
        <w:tc>
          <w:tcPr>
            <w:tcW w:w="2501" w:type="dxa"/>
          </w:tcPr>
          <w:p w14:paraId="3B6D4E0D" w14:textId="77777777" w:rsidR="009F6F9F" w:rsidRDefault="00000000">
            <w:pPr>
              <w:pStyle w:val="Compact"/>
            </w:pPr>
            <w:hyperlink r:id="rId25">
              <w:r>
                <w:rPr>
                  <w:rStyle w:val="Hyperlink"/>
                </w:rPr>
                <w:t>CMS Interoperability &amp; Prior Authorization Final Rule Fact Sheet</w:t>
              </w:r>
            </w:hyperlink>
          </w:p>
        </w:tc>
        <w:tc>
          <w:tcPr>
            <w:tcW w:w="2084" w:type="dxa"/>
          </w:tcPr>
          <w:p w14:paraId="6B580B08" w14:textId="77777777" w:rsidR="009F6F9F" w:rsidRDefault="00000000">
            <w:pPr>
              <w:pStyle w:val="Compact"/>
            </w:pPr>
            <w:r>
              <w:t>API requirements: Patient Access, Provider Access, Payer-to-Payer, Prior Authorization APIs</w:t>
            </w:r>
          </w:p>
        </w:tc>
      </w:tr>
      <w:tr w:rsidR="009F6F9F" w14:paraId="00E297AF" w14:textId="77777777">
        <w:tc>
          <w:tcPr>
            <w:tcW w:w="1250" w:type="dxa"/>
          </w:tcPr>
          <w:p w14:paraId="069E1E46" w14:textId="77777777" w:rsidR="009F6F9F" w:rsidRDefault="00000000">
            <w:pPr>
              <w:pStyle w:val="Compact"/>
            </w:pPr>
            <w:r>
              <w:t>10</w:t>
            </w:r>
          </w:p>
        </w:tc>
        <w:tc>
          <w:tcPr>
            <w:tcW w:w="2084" w:type="dxa"/>
          </w:tcPr>
          <w:p w14:paraId="7AFC08BE" w14:textId="77777777" w:rsidR="009F6F9F" w:rsidRDefault="00000000">
            <w:pPr>
              <w:pStyle w:val="Compact"/>
            </w:pPr>
            <w:r>
              <w:t>Autonomize live at 3 of 5 largest US health plans</w:t>
            </w:r>
          </w:p>
        </w:tc>
        <w:tc>
          <w:tcPr>
            <w:tcW w:w="2501" w:type="dxa"/>
          </w:tcPr>
          <w:p w14:paraId="31E84C66" w14:textId="77777777" w:rsidR="009F6F9F" w:rsidRDefault="00000000">
            <w:pPr>
              <w:pStyle w:val="Compact"/>
            </w:pPr>
            <w:hyperlink r:id="rId26">
              <w:r>
                <w:rPr>
                  <w:rStyle w:val="Hyperlink"/>
                </w:rPr>
                <w:t>Autonomize AI leadership hires press release (Feb 2026)</w:t>
              </w:r>
            </w:hyperlink>
          </w:p>
        </w:tc>
        <w:tc>
          <w:tcPr>
            <w:tcW w:w="2084" w:type="dxa"/>
          </w:tcPr>
          <w:p w14:paraId="37C7A3C5" w14:textId="77777777" w:rsidR="009F6F9F" w:rsidRDefault="00000000">
            <w:pPr>
              <w:pStyle w:val="Compact"/>
            </w:pPr>
            <w:r>
              <w:t>Exact wording: “live at three of the five largest U.S. health plans”</w:t>
            </w:r>
          </w:p>
        </w:tc>
      </w:tr>
      <w:tr w:rsidR="009F6F9F" w14:paraId="2649F2D9" w14:textId="77777777">
        <w:tc>
          <w:tcPr>
            <w:tcW w:w="1250" w:type="dxa"/>
          </w:tcPr>
          <w:p w14:paraId="0FE1C342" w14:textId="77777777" w:rsidR="009F6F9F" w:rsidRDefault="00000000">
            <w:pPr>
              <w:pStyle w:val="Compact"/>
            </w:pPr>
            <w:r>
              <w:t>11</w:t>
            </w:r>
          </w:p>
        </w:tc>
        <w:tc>
          <w:tcPr>
            <w:tcW w:w="2084" w:type="dxa"/>
          </w:tcPr>
          <w:p w14:paraId="630C74AC" w14:textId="77777777" w:rsidR="009F6F9F" w:rsidRDefault="00000000">
            <w:pPr>
              <w:pStyle w:val="Compact"/>
            </w:pPr>
            <w:r>
              <w:t>Autonomize Prior Auth Copilot on Azure Marketplace</w:t>
            </w:r>
          </w:p>
        </w:tc>
        <w:tc>
          <w:tcPr>
            <w:tcW w:w="2501" w:type="dxa"/>
          </w:tcPr>
          <w:p w14:paraId="6FE4CA94" w14:textId="77777777" w:rsidR="009F6F9F" w:rsidRDefault="00000000">
            <w:pPr>
              <w:pStyle w:val="Compact"/>
            </w:pPr>
            <w:hyperlink r:id="rId27">
              <w:r>
                <w:rPr>
                  <w:rStyle w:val="Hyperlink"/>
                </w:rPr>
                <w:t>Azure Marketplace listing</w:t>
              </w:r>
            </w:hyperlink>
          </w:p>
        </w:tc>
        <w:tc>
          <w:tcPr>
            <w:tcW w:w="2084" w:type="dxa"/>
          </w:tcPr>
          <w:p w14:paraId="373C7B10" w14:textId="77777777" w:rsidR="009F6F9F" w:rsidRDefault="00000000">
            <w:pPr>
              <w:pStyle w:val="Compact"/>
            </w:pPr>
            <w:r>
              <w:t>SaaS product listing</w:t>
            </w:r>
          </w:p>
        </w:tc>
      </w:tr>
      <w:tr w:rsidR="009F6F9F" w14:paraId="7C3A7621" w14:textId="77777777">
        <w:tc>
          <w:tcPr>
            <w:tcW w:w="1250" w:type="dxa"/>
          </w:tcPr>
          <w:p w14:paraId="7DF64718" w14:textId="77777777" w:rsidR="009F6F9F" w:rsidRDefault="00000000">
            <w:pPr>
              <w:pStyle w:val="Compact"/>
            </w:pPr>
            <w:r>
              <w:t>12</w:t>
            </w:r>
          </w:p>
        </w:tc>
        <w:tc>
          <w:tcPr>
            <w:tcW w:w="2084" w:type="dxa"/>
          </w:tcPr>
          <w:p w14:paraId="6C1262DF" w14:textId="77777777" w:rsidR="009F6F9F" w:rsidRDefault="00000000">
            <w:pPr>
              <w:pStyle w:val="Compact"/>
            </w:pPr>
            <w:r>
              <w:t>Autonomize + ServiceNow partnership</w:t>
            </w:r>
          </w:p>
        </w:tc>
        <w:tc>
          <w:tcPr>
            <w:tcW w:w="2501" w:type="dxa"/>
          </w:tcPr>
          <w:p w14:paraId="1867E84B" w14:textId="77777777" w:rsidR="009F6F9F" w:rsidRDefault="00000000">
            <w:pPr>
              <w:pStyle w:val="Compact"/>
            </w:pPr>
            <w:hyperlink r:id="rId28">
              <w:r>
                <w:rPr>
                  <w:rStyle w:val="Hyperlink"/>
                </w:rPr>
                <w:t>Autonomize + ServiceNow press release (Mar 2026)</w:t>
              </w:r>
            </w:hyperlink>
          </w:p>
        </w:tc>
        <w:tc>
          <w:tcPr>
            <w:tcW w:w="2084" w:type="dxa"/>
          </w:tcPr>
          <w:p w14:paraId="654752A5" w14:textId="77777777" w:rsidR="009F6F9F" w:rsidRDefault="00000000">
            <w:pPr>
              <w:pStyle w:val="Compact"/>
            </w:pPr>
            <w:r>
              <w:t>AI-driven healthcare solutions for payers</w:t>
            </w:r>
          </w:p>
        </w:tc>
      </w:tr>
      <w:tr w:rsidR="009F6F9F" w14:paraId="2F52E7F5" w14:textId="77777777">
        <w:tc>
          <w:tcPr>
            <w:tcW w:w="1250" w:type="dxa"/>
          </w:tcPr>
          <w:p w14:paraId="69D2C94C" w14:textId="77777777" w:rsidR="009F6F9F" w:rsidRDefault="00000000">
            <w:pPr>
              <w:pStyle w:val="Compact"/>
            </w:pPr>
            <w:r>
              <w:t>13</w:t>
            </w:r>
          </w:p>
        </w:tc>
        <w:tc>
          <w:tcPr>
            <w:tcW w:w="2084" w:type="dxa"/>
          </w:tcPr>
          <w:p w14:paraId="56814572" w14:textId="77777777" w:rsidR="009F6F9F" w:rsidRDefault="00000000">
            <w:pPr>
              <w:pStyle w:val="Compact"/>
            </w:pPr>
            <w:r>
              <w:t>Claude models available in Azure AI Foundry</w:t>
            </w:r>
          </w:p>
        </w:tc>
        <w:tc>
          <w:tcPr>
            <w:tcW w:w="2501" w:type="dxa"/>
          </w:tcPr>
          <w:p w14:paraId="38520247" w14:textId="77777777" w:rsidR="009F6F9F" w:rsidRDefault="00000000">
            <w:pPr>
              <w:pStyle w:val="Compact"/>
            </w:pPr>
            <w:hyperlink r:id="rId29">
              <w:r>
                <w:rPr>
                  <w:rStyle w:val="Hyperlink"/>
                </w:rPr>
                <w:t>Microsoft Learn: Deploy Claude in Microsoft Foundry</w:t>
              </w:r>
            </w:hyperlink>
          </w:p>
        </w:tc>
        <w:tc>
          <w:tcPr>
            <w:tcW w:w="2084" w:type="dxa"/>
          </w:tcPr>
          <w:p w14:paraId="3D2E2BCB" w14:textId="77777777" w:rsidR="009F6F9F" w:rsidRDefault="00000000">
            <w:pPr>
              <w:pStyle w:val="Compact"/>
            </w:pPr>
            <w:r>
              <w:t>Opus, Sonnet, Haiku model families via global standard deployment</w:t>
            </w:r>
          </w:p>
        </w:tc>
      </w:tr>
      <w:tr w:rsidR="009F6F9F" w14:paraId="3AE57EAA" w14:textId="77777777">
        <w:tc>
          <w:tcPr>
            <w:tcW w:w="1250" w:type="dxa"/>
          </w:tcPr>
          <w:p w14:paraId="1A997A59" w14:textId="77777777" w:rsidR="009F6F9F" w:rsidRDefault="00000000">
            <w:pPr>
              <w:pStyle w:val="Compact"/>
            </w:pPr>
            <w:r>
              <w:t>14</w:t>
            </w:r>
          </w:p>
        </w:tc>
        <w:tc>
          <w:tcPr>
            <w:tcW w:w="2084" w:type="dxa"/>
          </w:tcPr>
          <w:p w14:paraId="0CF761BB" w14:textId="77777777" w:rsidR="009F6F9F" w:rsidRDefault="00000000">
            <w:pPr>
              <w:pStyle w:val="Compact"/>
            </w:pPr>
            <w:r>
              <w:t>Autonomize Genesis Platform</w:t>
            </w:r>
          </w:p>
        </w:tc>
        <w:tc>
          <w:tcPr>
            <w:tcW w:w="2501" w:type="dxa"/>
          </w:tcPr>
          <w:p w14:paraId="096CFBA8" w14:textId="77777777" w:rsidR="009F6F9F" w:rsidRDefault="00000000">
            <w:pPr>
              <w:pStyle w:val="Compact"/>
            </w:pPr>
            <w:hyperlink r:id="rId30">
              <w:r>
                <w:rPr>
                  <w:rStyle w:val="Hyperlink"/>
                </w:rPr>
                <w:t>Autonomize AI Prior Authorization Copilot press release (Apr 2025)</w:t>
              </w:r>
            </w:hyperlink>
          </w:p>
        </w:tc>
        <w:tc>
          <w:tcPr>
            <w:tcW w:w="2084" w:type="dxa"/>
          </w:tcPr>
          <w:p w14:paraId="34FF22C4" w14:textId="77777777" w:rsidR="009F6F9F" w:rsidRDefault="00000000">
            <w:pPr>
              <w:pStyle w:val="Compact"/>
            </w:pPr>
            <w:r>
              <w:t>PA Copilot “built on the Genesis Platform”; Compound AI architecture</w:t>
            </w:r>
          </w:p>
        </w:tc>
      </w:tr>
      <w:tr w:rsidR="009F6F9F" w14:paraId="4BB413A3" w14:textId="77777777">
        <w:tc>
          <w:tcPr>
            <w:tcW w:w="1250" w:type="dxa"/>
          </w:tcPr>
          <w:p w14:paraId="113901D9" w14:textId="77777777" w:rsidR="009F6F9F" w:rsidRDefault="00000000">
            <w:pPr>
              <w:pStyle w:val="Compact"/>
            </w:pPr>
            <w:r>
              <w:t>15</w:t>
            </w:r>
          </w:p>
        </w:tc>
        <w:tc>
          <w:tcPr>
            <w:tcW w:w="2084" w:type="dxa"/>
          </w:tcPr>
          <w:p w14:paraId="53089D40" w14:textId="77777777" w:rsidR="009F6F9F" w:rsidRDefault="00000000">
            <w:pPr>
              <w:pStyle w:val="Compact"/>
            </w:pPr>
            <w:r>
              <w:t>Autonomize in Microsoft Pegasus Program</w:t>
            </w:r>
          </w:p>
        </w:tc>
        <w:tc>
          <w:tcPr>
            <w:tcW w:w="2501" w:type="dxa"/>
          </w:tcPr>
          <w:p w14:paraId="0C857BAA" w14:textId="77777777" w:rsidR="009F6F9F" w:rsidRDefault="00000000">
            <w:pPr>
              <w:pStyle w:val="Compact"/>
            </w:pPr>
            <w:hyperlink r:id="rId31">
              <w:r>
                <w:rPr>
                  <w:rStyle w:val="Hyperlink"/>
                </w:rPr>
                <w:t>Autonomize AI joins Pegasus Program (Nov 2025)</w:t>
              </w:r>
            </w:hyperlink>
          </w:p>
        </w:tc>
        <w:tc>
          <w:tcPr>
            <w:tcW w:w="2084" w:type="dxa"/>
          </w:tcPr>
          <w:p w14:paraId="77E5F34F" w14:textId="77777777" w:rsidR="009F6F9F" w:rsidRDefault="00000000">
            <w:pPr>
              <w:pStyle w:val="Compact"/>
            </w:pPr>
            <w:r>
              <w:t>Invite-only Microsoft for Startups program; up to 24-month enterprise acceleration</w:t>
            </w:r>
          </w:p>
        </w:tc>
      </w:tr>
      <w:bookmarkEnd w:id="3"/>
      <w:bookmarkEnd w:id="18"/>
    </w:tbl>
    <w:p w14:paraId="56622A75" w14:textId="77777777" w:rsidR="00A4743D" w:rsidRDefault="00A4743D"/>
    <w:sectPr w:rsidR="00A4743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0219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E2CE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BE4F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64701772">
    <w:abstractNumId w:val="0"/>
  </w:num>
  <w:num w:numId="2" w16cid:durableId="491943946">
    <w:abstractNumId w:val="1"/>
  </w:num>
  <w:num w:numId="3" w16cid:durableId="1155729062">
    <w:abstractNumId w:val="1"/>
  </w:num>
  <w:num w:numId="4" w16cid:durableId="818881414">
    <w:abstractNumId w:val="1"/>
  </w:num>
  <w:num w:numId="5" w16cid:durableId="1011882739">
    <w:abstractNumId w:val="1"/>
  </w:num>
  <w:num w:numId="6" w16cid:durableId="1369184117">
    <w:abstractNumId w:val="1"/>
  </w:num>
  <w:num w:numId="7" w16cid:durableId="1651667286">
    <w:abstractNumId w:val="1"/>
  </w:num>
  <w:num w:numId="8" w16cid:durableId="499974632">
    <w:abstractNumId w:val="1"/>
  </w:num>
  <w:num w:numId="9" w16cid:durableId="543325477">
    <w:abstractNumId w:val="1"/>
  </w:num>
  <w:num w:numId="10" w16cid:durableId="1241913844">
    <w:abstractNumId w:val="1"/>
  </w:num>
  <w:num w:numId="11" w16cid:durableId="1772327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F9F"/>
    <w:rsid w:val="00392477"/>
    <w:rsid w:val="00622BCD"/>
    <w:rsid w:val="009F6F9F"/>
    <w:rsid w:val="00A4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EB45"/>
  <w15:docId w15:val="{5C660F0D-5C40-43F4-A6A1-23CF5FA4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www.caqh.org/hubfs/Index/2024%20Index%20Report/CAQH_IndexReport_2024_FINAL.pdf" TargetMode="External"/><Relationship Id="rId26" Type="http://schemas.openxmlformats.org/officeDocument/2006/relationships/hyperlink" Target="https://www.businesswire.com/news/home/20260226730170/en/Autonomize-AI-Strengthens-Leadership-with-Senior-Healthcare-Marketing-and-Regulatory-Hir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usinesswire.com/news/home/20260224376992/en/Altais-Cuts-Prior-Authorization-Review-Time-by-45-and-Reduces-Manual-Errors-by-54-with-Autonomize-AI" TargetMode="External"/><Relationship Id="rId7" Type="http://schemas.openxmlformats.org/officeDocument/2006/relationships/hyperlink" Target="https://www.businesswire.com/news/home/20260224376992/en/Altais-Cuts-Prior-Authorization-Review-Time-by-45-and-Reduces-Manual-Errors-by-54-with-Autonomize-AI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caqh.org/hubfs/Index/2024%20Index%20Report/CAQH_IndexReport_2024_FINAL.pdf" TargetMode="External"/><Relationship Id="rId25" Type="http://schemas.openxmlformats.org/officeDocument/2006/relationships/hyperlink" Target="https://www.cms.gov/newsroom/fact-sheets/cms-interoperability-prior-authorization-final-rule-cms-0057-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www.businesswire.com/news/home/20260224376992/en/Altais-Cuts-Prior-Authorization-Review-Time-by-45-and-Reduces-Manual-Errors-by-54-with-Autonomize-AI" TargetMode="External"/><Relationship Id="rId29" Type="http://schemas.openxmlformats.org/officeDocument/2006/relationships/hyperlink" Target="https://learn.microsoft.com/en-us/azure/foundry/foundry-models/how-to/use-foundry-models-clau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ma-assn.org/system/files/prior-authorization-survey.pdf" TargetMode="External"/><Relationship Id="rId11" Type="http://schemas.openxmlformats.org/officeDocument/2006/relationships/hyperlink" Target="https://www.businesswire.com/news/home/20260305091710/en/Autonomize-AI-Partners-with-ServiceNow-to-Build-AI-Driven-Healthcare-Solutions-for-Payers" TargetMode="External"/><Relationship Id="rId24" Type="http://schemas.openxmlformats.org/officeDocument/2006/relationships/hyperlink" Target="https://www.cms.gov/newsroom/fact-sheets/cms-interoperability-prior-authorization-final-rule-cms-0057-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caqh.org/hubfs/Index/2024%20Index%20Report/CAQH_IndexReport_2024_FINAL.pdf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www.ama-assn.org/system/files/prior-authorization-survey.pdf" TargetMode="External"/><Relationship Id="rId28" Type="http://schemas.openxmlformats.org/officeDocument/2006/relationships/hyperlink" Target="https://www.businesswire.com/news/home/20260305091710/en/Autonomize-AI-Partners-with-ServiceNow-to-Build-AI-Driven-Healthcare-Solutions-for-Payers" TargetMode="External"/><Relationship Id="rId10" Type="http://schemas.openxmlformats.org/officeDocument/2006/relationships/hyperlink" Target="https://www.businesswire.com/news/home/20251105084154/en/Autonomize-AI-selected-to-join-the-Microsoft-for-Startups-Pegasus-Program-to-Expand-Enterprise-AI-Impact-in-Healthcare-and-Life-Sciences" TargetMode="External"/><Relationship Id="rId19" Type="http://schemas.openxmlformats.org/officeDocument/2006/relationships/hyperlink" Target="https://www.caqh.org/hubfs/Index/2024%20Index%20Report/CAQH_IndexReport_2024_FINAL.pdf" TargetMode="External"/><Relationship Id="rId31" Type="http://schemas.openxmlformats.org/officeDocument/2006/relationships/hyperlink" Target="https://www.businesswire.com/news/home/20251105084154/en/Autonomize-AI-selected-to-join-the-Microsoft-for-Startups-Pegasus-Program-to-Expand-Enterprise-AI-Impact-in-Healthcare-and-Life-Scien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zuremarketplace.microsoft.com/en-us/marketplace/apps/284109.autonomize-prior-auth-copilot" TargetMode="External"/><Relationship Id="rId14" Type="http://schemas.openxmlformats.org/officeDocument/2006/relationships/hyperlink" Target="https://github.com/praeducer/autonomize-healthcare-ai-demo/blob/main/docs/presentation/demo-script.md" TargetMode="External"/><Relationship Id="rId22" Type="http://schemas.openxmlformats.org/officeDocument/2006/relationships/hyperlink" Target="https://www.businesswire.com/news/home/20260224376992/en/Altais-Cuts-Prior-Authorization-Review-Time-by-45-and-Reduces-Manual-Errors-by-54-with-Autonomize-AI" TargetMode="External"/><Relationship Id="rId27" Type="http://schemas.openxmlformats.org/officeDocument/2006/relationships/hyperlink" Target="https://azuremarketplace.microsoft.com/en-us/marketplace/apps/284109.autonomize-prior-auth-copilot" TargetMode="External"/><Relationship Id="rId30" Type="http://schemas.openxmlformats.org/officeDocument/2006/relationships/hyperlink" Target="https://www.globenewswire.com/news-release/2025/04/24/3067359/0/en/Autonomize-AI-Prior-Authorization-Copilot-Helping-Patients-Get-Care-Faster-Safer-and-with-Less-Stress.html" TargetMode="External"/><Relationship Id="rId8" Type="http://schemas.openxmlformats.org/officeDocument/2006/relationships/hyperlink" Target="https://www.businesswire.com/news/home/20260226730170/en/Autonomize-AI-Strengthens-Leadership-with-Senior-Healthcare-Marketing-and-Regulatory-Hi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1391</Words>
  <Characters>8334</Characters>
  <Application>Microsoft Office Word</Application>
  <DocSecurity>0</DocSecurity>
  <Lines>398</Lines>
  <Paragraphs>238</Paragraphs>
  <ScaleCrop>false</ScaleCrop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 Prae</cp:lastModifiedBy>
  <cp:revision>3</cp:revision>
  <dcterms:created xsi:type="dcterms:W3CDTF">2026-03-25T03:19:00Z</dcterms:created>
  <dcterms:modified xsi:type="dcterms:W3CDTF">2026-03-25T03:34:00Z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f2f92c9f-3434-4922-919c-12f6b504725c</vt:lpwstr>
  </property>
</Properties>
</file>