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10563cfbaecda327a3face171a3b3b68fb5bfbe"/>
    <w:p>
      <w:pPr>
        <w:pStyle w:val="Heading1"/>
      </w:pPr>
      <w:r>
        <w:t xml:space="preserve">PAI Packaging Automation PoC — Solution Architecture</w:t>
      </w:r>
    </w:p>
    <w:p>
      <w:pPr>
        <w:pStyle w:val="FirstParagraph"/>
      </w:pPr>
      <w:r>
        <w:rPr>
          <w:b/>
          <w:bCs/>
        </w:rPr>
        <w:t xml:space="preserve">Prepared for:</w:t>
      </w:r>
      <w:r>
        <w:t xml:space="preserve"> </w:t>
      </w:r>
      <w:r>
        <w:t xml:space="preserve">Adobe PAI Interview Panel (Principal Engineers + Hiring Manager)</w:t>
      </w:r>
      <w:r>
        <w:t xml:space="preserve"> </w:t>
      </w:r>
      <w:r>
        <w:rPr>
          <w:b/>
          <w:bCs/>
        </w:rPr>
        <w:t xml:space="preserve">Engagement:</w:t>
      </w:r>
      <w:r>
        <w:t xml:space="preserve"> </w:t>
      </w:r>
      <w:r>
        <w:t xml:space="preserve">PAI Packaging Automation PoC — R162394 Senior Platform &amp; AI Engineer</w:t>
      </w:r>
      <w:r>
        <w:t xml:space="preserve"> </w:t>
      </w:r>
      <w:r>
        <w:rPr>
          <w:b/>
          <w:bCs/>
        </w:rPr>
        <w:t xml:space="preserve">Author:</w:t>
      </w:r>
      <w:r>
        <w:t xml:space="preserve"> </w:t>
      </w:r>
      <w:r>
        <w:t xml:space="preserve">Paul Prae</w:t>
      </w:r>
      <w:r>
        <w:t xml:space="preserve"> </w:t>
      </w:r>
      <w:r>
        <w:rPr>
          <w:b/>
          <w:bCs/>
        </w:rPr>
        <w:t xml:space="preserve">Date:</w:t>
      </w:r>
      <w:r>
        <w:t xml:space="preserve"> </w:t>
      </w:r>
      <w:r>
        <w:t xml:space="preserve">March 20, 2026</w:t>
      </w:r>
      <w:r>
        <w:t xml:space="preserve"> </w:t>
      </w:r>
      <w:r>
        <w:rPr>
          <w:b/>
          <w:bCs/>
        </w:rPr>
        <w:t xml:space="preserve">Repository:</w:t>
      </w:r>
      <w:r>
        <w:t xml:space="preserve"> </w:t>
      </w:r>
      <w:r>
        <w:t xml:space="preserve">https://github.com/praeducer/pai-take-home-exercise</w:t>
      </w:r>
      <w:r>
        <w:t xml:space="preserve"> </w:t>
      </w:r>
      <w:r>
        <w:rPr>
          <w:b/>
          <w:bCs/>
        </w:rPr>
        <w:t xml:space="preserve">Version:</w:t>
      </w:r>
      <w:r>
        <w:t xml:space="preserve"> </w:t>
      </w:r>
      <w:r>
        <w:t xml:space="preserve">2.1 (final — post image quality overhaul)</w:t>
      </w:r>
    </w:p>
    <w:p>
      <w:r>
        <w:pict>
          <v:rect style="width:0;height:1.5pt" o:hralign="center" o:hrstd="t" o:hr="t"/>
        </w:pict>
      </w:r>
    </w:p>
    <w:bookmarkStart w:id="9" w:name="executive-summary"/>
    <w:p>
      <w:pPr>
        <w:pStyle w:val="Heading2"/>
      </w:pPr>
      <w:r>
        <w:t xml:space="preserve">1. Executive Summary</w:t>
      </w:r>
    </w:p>
    <w:p>
      <w:pPr>
        <w:pStyle w:val="FirstParagraph"/>
      </w:pPr>
      <w:r>
        <w:t xml:space="preserve">This document describes the architecture of a fully functional AI-native packaging automation pipeline that accepts a structured SKU brief (JSON) and produces multi-format, regionally adapted packaging images using AWS Bedrock generative AI models. The system generates front labels (1:1), back labels (9:16), and wraparound designs (16:9) for multiple product variants, organized in S3 by SKU, region, and format. Every line of Python, every test, every CloudFormation resource, and every CI/CD workflow in the repository was written by Claude (Sonnet 4.6 / Opus 4.6) under human architectural direction — demonstrating the same AI-assisted development philosophy that the pipeline itself embodies.</w:t>
      </w:r>
    </w:p>
    <w:p>
      <w:pPr>
        <w:pStyle w:val="BodyText"/>
      </w:pPr>
      <w:r>
        <w:t xml:space="preserve">The implementation takes an AI-native approach at every layer: Claude Code custom skills replace traditional CLI frameworks as the user interface; Claude Sonnet 4.6 generates brand-specific visual direction via structured tool use to ensure coherence across all images in a run; Claude Sonnet 4.6 also enhances prompts for better Bedrock image model compatibility; and Amazon Nova Canvas generates high-fidelity packaging photography. The entire system is an exercise in</w:t>
      </w:r>
      <w:r>
        <w:t xml:space="preserve"> </w:t>
      </w:r>
      <w:r>
        <w:t xml:space="preserve">“dog-fooding”</w:t>
      </w:r>
      <w:r>
        <w:t xml:space="preserve"> </w:t>
      </w:r>
      <w:r>
        <w:t xml:space="preserve">— the AI tool that runs the pipeline is the same AI that designed and built it.</w:t>
      </w:r>
    </w:p>
    <w:p>
      <w:pPr>
        <w:pStyle w:val="BodyText"/>
      </w:pPr>
      <w:r>
        <w:rPr>
          <w:b/>
          <w:bCs/>
        </w:rPr>
        <w:t xml:space="preserve">Business Value:</w:t>
      </w:r>
      <w:r>
        <w:t xml:space="preserve"> </w:t>
      </w:r>
      <w:r>
        <w:t xml:space="preserve">A global CPG manufacturer generating hundreds of regional packaging variants monthly can reduce design agency engagement from days to minutes. This PoC demonstrates</w:t>
      </w:r>
      <w:r>
        <w:t xml:space="preserve"> </w:t>
      </w:r>
      <w:r>
        <w:rPr>
          <w:b/>
          <w:bCs/>
        </w:rPr>
        <w:t xml:space="preserve">$0.20 for 24 high-quality packaging variants</w:t>
      </w:r>
      <w:r>
        <w:t xml:space="preserve"> </w:t>
      </w:r>
      <w:r>
        <w:t xml:space="preserve">— front label, back label, and wraparound — across 4 global markets (US West, LATAM, APAC, EU), with culturally adapted visual direction generated per region. At production scale of 1,000 variants/month, the projected cost is ~$95/month versus traditional agency creative fees of $5,000-50,000/month — a 98%+ cost reduction per variant.</w:t>
      </w:r>
    </w:p>
    <w:p>
      <w:r>
        <w:pict>
          <v:rect style="width:0;height:1.5pt" o:hralign="center" o:hrstd="t" o:hr="t"/>
        </w:pict>
      </w:r>
    </w:p>
    <w:bookmarkEnd w:id="9"/>
    <w:bookmarkStart w:id="13" w:name="problem-statement-business-goals"/>
    <w:p>
      <w:pPr>
        <w:pStyle w:val="Heading2"/>
      </w:pPr>
      <w:r>
        <w:t xml:space="preserve">2. Problem Statement &amp; Business Goals</w:t>
      </w:r>
    </w:p>
    <w:bookmarkStart w:id="10" w:name="scenario"/>
    <w:p>
      <w:pPr>
        <w:pStyle w:val="Heading3"/>
      </w:pPr>
      <w:r>
        <w:t xml:space="preserve">Scenario</w:t>
      </w:r>
    </w:p>
    <w:p>
      <w:pPr>
        <w:pStyle w:val="FirstParagraph"/>
      </w:pPr>
      <w:r>
        <w:t xml:space="preserve">A global consumer packaged goods (CPG) manufacturer — modeled here as</w:t>
      </w:r>
      <w:r>
        <w:t xml:space="preserve"> </w:t>
      </w:r>
      <w:r>
        <w:rPr>
          <w:b/>
          <w:bCs/>
        </w:rPr>
        <w:t xml:space="preserve">Alpine Harvest</w:t>
      </w:r>
      <w:r>
        <w:t xml:space="preserve">, a fictional Pacific Northwest trail mix brand — launches hundreds of localized product packaging variants monthly across regional markets. The exercise demonstrates one brand, one product line (Organic Trail Mix in Original and Dark Chocolate flavors), and four regional markets (US West, LATAM, APAC, EU) to prove culturally adapted packaging generation at scale.</w:t>
      </w:r>
    </w:p>
    <w:bookmarkEnd w:id="10"/>
    <w:bookmarkStart w:id="11" w:name="pain-points"/>
    <w:p>
      <w:pPr>
        <w:pStyle w:val="Heading3"/>
      </w:pPr>
      <w:r>
        <w:t xml:space="preserve">Pain Points</w:t>
      </w:r>
    </w:p>
    <w:p>
      <w:pPr>
        <w:pStyle w:val="Compact"/>
        <w:numPr>
          <w:ilvl w:val="0"/>
          <w:numId w:val="1001"/>
        </w:numPr>
      </w:pPr>
      <w:r>
        <w:rPr>
          <w:b/>
          <w:bCs/>
        </w:rPr>
        <w:t xml:space="preserve">Manual packaging design overload</w:t>
      </w:r>
      <w:r>
        <w:t xml:space="preserve"> </w:t>
      </w:r>
      <w:r>
        <w:t xml:space="preserve">— Creating and localizing design variants for hundreds of SKUs per month is slow, expensive, and error-prone.</w:t>
      </w:r>
    </w:p>
    <w:p>
      <w:pPr>
        <w:pStyle w:val="Compact"/>
        <w:numPr>
          <w:ilvl w:val="0"/>
          <w:numId w:val="1001"/>
        </w:numPr>
      </w:pPr>
      <w:r>
        <w:rPr>
          <w:b/>
          <w:bCs/>
        </w:rPr>
        <w:t xml:space="preserve">Inconsistent quality &amp; compliance</w:t>
      </w:r>
      <w:r>
        <w:t xml:space="preserve"> </w:t>
      </w:r>
      <w:r>
        <w:t xml:space="preserve">— Risk of off-brand, non-compliant, or low-quality packaging due to decentralized design processes and multiple agencies.</w:t>
      </w:r>
    </w:p>
    <w:p>
      <w:pPr>
        <w:pStyle w:val="Compact"/>
        <w:numPr>
          <w:ilvl w:val="0"/>
          <w:numId w:val="1001"/>
        </w:numPr>
      </w:pPr>
      <w:r>
        <w:rPr>
          <w:b/>
          <w:bCs/>
        </w:rPr>
        <w:t xml:space="preserve">Slow approval cycles</w:t>
      </w:r>
      <w:r>
        <w:t xml:space="preserve"> </w:t>
      </w:r>
      <w:r>
        <w:t xml:space="preserve">— Bottlenecks in regulatory review and brand approval with multiple stakeholders in each region and market.</w:t>
      </w:r>
    </w:p>
    <w:p>
      <w:pPr>
        <w:pStyle w:val="Compact"/>
        <w:numPr>
          <w:ilvl w:val="0"/>
          <w:numId w:val="1001"/>
        </w:numPr>
      </w:pPr>
      <w:r>
        <w:rPr>
          <w:b/>
          <w:bCs/>
        </w:rPr>
        <w:t xml:space="preserve">Difficulty tracking compliance at scale</w:t>
      </w:r>
      <w:r>
        <w:t xml:space="preserve"> </w:t>
      </w:r>
      <w:r>
        <w:t xml:space="preserve">— Siloed design files and manual compliance checking hinder learning and prevent non-compliant designs from reaching production.</w:t>
      </w:r>
    </w:p>
    <w:p>
      <w:pPr>
        <w:pStyle w:val="Compact"/>
        <w:numPr>
          <w:ilvl w:val="0"/>
          <w:numId w:val="1001"/>
        </w:numPr>
      </w:pPr>
      <w:r>
        <w:rPr>
          <w:b/>
          <w:bCs/>
        </w:rPr>
        <w:t xml:space="preserve">Resource drain</w:t>
      </w:r>
      <w:r>
        <w:t xml:space="preserve"> </w:t>
      </w:r>
      <w:r>
        <w:t xml:space="preserve">— Skilled design and brand teams are overloaded with repetitive layout and resizing requests instead of strategic creative work.</w:t>
      </w:r>
    </w:p>
    <w:bookmarkEnd w:id="11"/>
    <w:bookmarkStart w:id="12" w:name="business-goals"/>
    <w:p>
      <w:pPr>
        <w:pStyle w:val="Heading3"/>
      </w:pPr>
      <w:r>
        <w:t xml:space="preserve">Business Goals</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t xml:space="preserve">Goal</w:t>
            </w:r>
          </w:p>
        </w:tc>
        <w:tc>
          <w:tcPr/>
          <w:p>
            <w:pPr>
              <w:pStyle w:val="Compact"/>
            </w:pPr>
            <w:r>
              <w:t xml:space="preserve">How This PoC Demonstrates It</w:t>
            </w:r>
          </w:p>
        </w:tc>
      </w:tr>
      <w:tr>
        <w:tc>
          <w:tcPr/>
          <w:p>
            <w:pPr>
              <w:pStyle w:val="Compact"/>
            </w:pPr>
            <w:r>
              <w:rPr>
                <w:b/>
                <w:bCs/>
              </w:rPr>
              <w:t xml:space="preserve">Accelerate time-to-market</w:t>
            </w:r>
          </w:p>
        </w:tc>
        <w:tc>
          <w:tcPr/>
          <w:p>
            <w:pPr>
              <w:pStyle w:val="Compact"/>
            </w:pPr>
            <w:r>
              <w:t xml:space="preserve">Single pipeline run generates 6 variants (2 products x 3 formats) in under 60 seconds; 4 regional runs complete in under 3 minutes</w:t>
            </w:r>
          </w:p>
        </w:tc>
      </w:tr>
      <w:tr>
        <w:tc>
          <w:tcPr/>
          <w:p>
            <w:pPr>
              <w:pStyle w:val="Compact"/>
            </w:pPr>
            <w:r>
              <w:rPr>
                <w:b/>
                <w:bCs/>
              </w:rPr>
              <w:t xml:space="preserve">Ensure brand consistency</w:t>
            </w:r>
          </w:p>
        </w:tc>
        <w:tc>
          <w:tcPr/>
          <w:p>
            <w:pPr>
              <w:pStyle w:val="Compact"/>
            </w:pPr>
            <w:r>
              <w:t xml:space="preserve">Brand profile generated once per brief (via Claude Sonnet 4.6 tool use) ensures all 6 images share coherent visual identity — photography style, color palette, and cultural elements</w:t>
            </w:r>
          </w:p>
        </w:tc>
      </w:tr>
      <w:tr>
        <w:tc>
          <w:tcPr/>
          <w:p>
            <w:pPr>
              <w:pStyle w:val="Compact"/>
            </w:pPr>
            <w:r>
              <w:rPr>
                <w:b/>
                <w:bCs/>
              </w:rPr>
              <w:t xml:space="preserve">Maximize local relevance</w:t>
            </w:r>
          </w:p>
        </w:tc>
        <w:tc>
          <w:tcPr/>
          <w:p>
            <w:pPr>
              <w:pStyle w:val="Compact"/>
            </w:pPr>
            <w:r>
              <w:rPr>
                <w:rStyle w:val="VerbatimChar"/>
              </w:rPr>
              <w:t xml:space="preserve">region</w:t>
            </w:r>
            <w:r>
              <w:t xml:space="preserve">,</w:t>
            </w:r>
            <w:r>
              <w:t xml:space="preserve"> </w:t>
            </w:r>
            <w:r>
              <w:rPr>
                <w:rStyle w:val="VerbatimChar"/>
              </w:rPr>
              <w:t xml:space="preserve">audience</w:t>
            </w:r>
            <w:r>
              <w:t xml:space="preserve">, and</w:t>
            </w:r>
            <w:r>
              <w:t xml:space="preserve"> </w:t>
            </w:r>
            <w:r>
              <w:rPr>
                <w:rStyle w:val="VerbatimChar"/>
              </w:rPr>
              <w:t xml:space="preserve">cultural_context</w:t>
            </w:r>
            <w:r>
              <w:t xml:space="preserve"> </w:t>
            </w:r>
            <w:r>
              <w:t xml:space="preserve">fields in each SKU brief drive regionally adapted prompts and visual direction</w:t>
            </w:r>
          </w:p>
        </w:tc>
      </w:tr>
      <w:tr>
        <w:tc>
          <w:tcPr/>
          <w:p>
            <w:pPr>
              <w:pStyle w:val="Compact"/>
            </w:pPr>
            <w:r>
              <w:rPr>
                <w:b/>
                <w:bCs/>
              </w:rPr>
              <w:t xml:space="preserve">Optimize packaging ROI</w:t>
            </w:r>
          </w:p>
        </w:tc>
        <w:tc>
          <w:tcPr/>
          <w:p>
            <w:pPr>
              <w:pStyle w:val="Compact"/>
            </w:pPr>
            <w:r>
              <w:t xml:space="preserve">GenAI generation at $0.008-0.08/variant vs. hours of manual agency work per variant</w:t>
            </w:r>
          </w:p>
        </w:tc>
      </w:tr>
      <w:tr>
        <w:tc>
          <w:tcPr/>
          <w:p>
            <w:pPr>
              <w:pStyle w:val="Compact"/>
            </w:pPr>
            <w:r>
              <w:rPr>
                <w:b/>
                <w:bCs/>
              </w:rPr>
              <w:t xml:space="preserve">Gain actionable insights</w:t>
            </w:r>
          </w:p>
        </w:tc>
        <w:tc>
          <w:tcPr/>
          <w:p>
            <w:pPr>
              <w:pStyle w:val="Compact"/>
            </w:pPr>
            <w:r>
              <w:t xml:space="preserve">JSON manifest per run captures model IDs, generation duration, errors, and run metadata for analytics</w:t>
            </w:r>
          </w:p>
        </w:tc>
      </w:tr>
    </w:tbl>
    <w:p>
      <w:r>
        <w:pict>
          <v:rect style="width:0;height:1.5pt" o:hralign="center" o:hrstd="t" o:hr="t"/>
        </w:pict>
      </w:r>
    </w:p>
    <w:bookmarkEnd w:id="12"/>
    <w:bookmarkEnd w:id="13"/>
    <w:bookmarkStart w:id="14" w:name="solution-overview"/>
    <w:p>
      <w:pPr>
        <w:pStyle w:val="Heading2"/>
      </w:pPr>
      <w:r>
        <w:t xml:space="preserve">3. Solution Overview</w:t>
      </w:r>
    </w:p>
    <w:p>
      <w:pPr>
        <w:pStyle w:val="FirstParagraph"/>
      </w:pPr>
      <w:r>
        <w:t xml:space="preserve">The PAI Packaging Automation PoC is a multi-step generative AI pipeline that transforms structured SKU briefs into production-quality packaging images. It chains three AI model calls per image — brand profiling, prompt enhancement, and image generation — then composites text overlays using Pillow, and delivers organized outputs to S3 with full run manifests.</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Pipeline modules</w:t>
            </w:r>
          </w:p>
        </w:tc>
        <w:tc>
          <w:tcPr/>
          <w:p>
            <w:pPr>
              <w:pStyle w:val="Compact"/>
            </w:pPr>
            <w:r>
              <w:t xml:space="preserve">8 Python modules in</w:t>
            </w:r>
            <w:r>
              <w:t xml:space="preserve"> </w:t>
            </w:r>
            <w:r>
              <w:rPr>
                <w:rStyle w:val="VerbatimChar"/>
              </w:rPr>
              <w:t xml:space="preserve">src/pipeline/</w:t>
            </w:r>
          </w:p>
        </w:tc>
      </w:tr>
      <w:tr>
        <w:tc>
          <w:tcPr/>
          <w:p>
            <w:pPr>
              <w:pStyle w:val="Compact"/>
            </w:pPr>
            <w:r>
              <w:t xml:space="preserve">Interface</w:t>
            </w:r>
          </w:p>
        </w:tc>
        <w:tc>
          <w:tcPr/>
          <w:p>
            <w:pPr>
              <w:pStyle w:val="Compact"/>
            </w:pPr>
            <w:r>
              <w:t xml:space="preserve">8 Claude Code custom skills (zero argparse)</w:t>
            </w:r>
          </w:p>
        </w:tc>
      </w:tr>
      <w:tr>
        <w:tc>
          <w:tcPr/>
          <w:p>
            <w:pPr>
              <w:pStyle w:val="Compact"/>
            </w:pPr>
            <w:r>
              <w:t xml:space="preserve">Image models</w:t>
            </w:r>
          </w:p>
        </w:tc>
        <w:tc>
          <w:tcPr/>
          <w:p>
            <w:pPr>
              <w:pStyle w:val="Compact"/>
            </w:pPr>
            <w:r>
              <w:t xml:space="preserve">Nova Canvas v1:0 (primary), Titan Image V2:0 (dev/fallback)</w:t>
            </w:r>
          </w:p>
        </w:tc>
      </w:tr>
      <w:tr>
        <w:tc>
          <w:tcPr/>
          <w:p>
            <w:pPr>
              <w:pStyle w:val="Compact"/>
            </w:pPr>
            <w:r>
              <w:t xml:space="preserve">Text reasoning models</w:t>
            </w:r>
          </w:p>
        </w:tc>
        <w:tc>
          <w:tcPr/>
          <w:p>
            <w:pPr>
              <w:pStyle w:val="Compact"/>
            </w:pPr>
            <w:r>
              <w:t xml:space="preserve">Claude Sonnet 4.6 (brand profile via tool_use + prompt enhancement)</w:t>
            </w:r>
          </w:p>
        </w:tc>
      </w:tr>
      <w:tr>
        <w:tc>
          <w:tcPr/>
          <w:p>
            <w:pPr>
              <w:pStyle w:val="Compact"/>
            </w:pPr>
            <w:r>
              <w:t xml:space="preserve">Test coverage</w:t>
            </w:r>
          </w:p>
        </w:tc>
        <w:tc>
          <w:tcPr/>
          <w:p>
            <w:pPr>
              <w:pStyle w:val="Compact"/>
            </w:pPr>
            <w:r>
              <w:t xml:space="preserve">46 unit tests across 8 test files</w:t>
            </w:r>
          </w:p>
        </w:tc>
      </w:tr>
      <w:tr>
        <w:tc>
          <w:tcPr/>
          <w:p>
            <w:pPr>
              <w:pStyle w:val="Compact"/>
            </w:pPr>
            <w:r>
              <w:t xml:space="preserve">CI/CD</w:t>
            </w:r>
          </w:p>
        </w:tc>
        <w:tc>
          <w:tcPr/>
          <w:p>
            <w:pPr>
              <w:pStyle w:val="Compact"/>
            </w:pPr>
            <w:r>
              <w:t xml:space="preserve">GitHub Actions — lint (ruff) + test (pytest) + security audit (pip-audit) + CloudFormation deploy</w:t>
            </w:r>
          </w:p>
        </w:tc>
      </w:tr>
      <w:tr>
        <w:tc>
          <w:tcPr/>
          <w:p>
            <w:pPr>
              <w:pStyle w:val="Compact"/>
            </w:pPr>
            <w:r>
              <w:t xml:space="preserve">Demo output</w:t>
            </w:r>
          </w:p>
        </w:tc>
        <w:tc>
          <w:tcPr/>
          <w:p>
            <w:pPr>
              <w:pStyle w:val="Compact"/>
            </w:pPr>
            <w:r>
              <w:t xml:space="preserve">24 images = 4 regions x 2 products x 3 formats</w:t>
            </w:r>
          </w:p>
        </w:tc>
      </w:tr>
      <w:tr>
        <w:tc>
          <w:tcPr/>
          <w:p>
            <w:pPr>
              <w:pStyle w:val="Compact"/>
            </w:pPr>
            <w:r>
              <w:t xml:space="preserve">Total PoC cost</w:t>
            </w:r>
          </w:p>
        </w:tc>
        <w:tc>
          <w:tcPr/>
          <w:p>
            <w:pPr>
              <w:pStyle w:val="Compact"/>
            </w:pPr>
            <w:r>
              <w:t xml:space="preserve">~$2.21</w:t>
            </w:r>
          </w:p>
        </w:tc>
      </w:tr>
    </w:tbl>
    <w:p>
      <w:r>
        <w:pict>
          <v:rect style="width:0;height:1.5pt" o:hralign="center" o:hrstd="t" o:hr="t"/>
        </w:pict>
      </w:r>
    </w:p>
    <w:bookmarkEnd w:id="14"/>
    <w:bookmarkStart w:id="19" w:name="system-architecture"/>
    <w:p>
      <w:pPr>
        <w:pStyle w:val="Heading2"/>
      </w:pPr>
      <w:r>
        <w:t xml:space="preserve">4. System Architecture</w:t>
      </w:r>
    </w:p>
    <w:bookmarkStart w:id="18" w:name="context-diagram"/>
    <w:p>
      <w:pPr>
        <w:pStyle w:val="Heading3"/>
      </w:pPr>
      <w:r>
        <w:t xml:space="preserve">Context Diagram</w:t>
      </w:r>
    </w:p>
    <w:p>
      <w:pPr>
        <w:pStyle w:val="FirstParagraph"/>
      </w:pPr>
      <w:r>
        <w:drawing>
          <wp:inline>
            <wp:extent cx="5334000" cy="2041071"/>
            <wp:effectExtent b="0" l="0" r="0" t="0"/>
            <wp:docPr descr="Diagram: graph LR" title="" id="16" name="Picture"/>
            <a:graphic>
              <a:graphicData uri="http://schemas.openxmlformats.org/drawingml/2006/picture">
                <pic:pic>
                  <pic:nvPicPr>
                    <pic:cNvPr descr="C:\Users\paulp\AppData\Local\Temp\md-to-docx-HolQ1E\diagram-0.png" id="17" name="Picture"/>
                    <pic:cNvPicPr>
                      <a:picLocks noChangeArrowheads="1" noChangeAspect="1"/>
                    </pic:cNvPicPr>
                  </pic:nvPicPr>
                  <pic:blipFill>
                    <a:blip r:embed="rId15"/>
                    <a:stretch>
                      <a:fillRect/>
                    </a:stretch>
                  </pic:blipFill>
                  <pic:spPr bwMode="auto">
                    <a:xfrm>
                      <a:off x="0" y="0"/>
                      <a:ext cx="5334000" cy="2041071"/>
                    </a:xfrm>
                    <a:prstGeom prst="rect">
                      <a:avLst/>
                    </a:prstGeom>
                    <a:noFill/>
                    <a:ln w="9525">
                      <a:noFill/>
                      <a:headEnd/>
                      <a:tailEnd/>
                    </a:ln>
                  </pic:spPr>
                </pic:pic>
              </a:graphicData>
            </a:graphic>
          </wp:inline>
        </w:drawing>
      </w:r>
      <w:r>
        <w:t xml:space="preserve"> </w:t>
      </w:r>
      <w:r>
        <w:t xml:space="preserve">### Key Architectural Characteristics</w:t>
      </w:r>
    </w:p>
    <w:p>
      <w:pPr>
        <w:pStyle w:val="Compact"/>
        <w:numPr>
          <w:ilvl w:val="0"/>
          <w:numId w:val="1002"/>
        </w:numPr>
      </w:pPr>
      <w:r>
        <w:rPr>
          <w:b/>
          <w:bCs/>
        </w:rPr>
        <w:t xml:space="preserve">Stateless pipeline</w:t>
      </w:r>
      <w:r>
        <w:t xml:space="preserve"> </w:t>
      </w:r>
      <w:r>
        <w:t xml:space="preserve">— No persistent process. Each</w:t>
      </w:r>
      <w:r>
        <w:t xml:space="preserve"> </w:t>
      </w:r>
      <w:r>
        <w:rPr>
          <w:rStyle w:val="VerbatimChar"/>
        </w:rPr>
        <w:t xml:space="preserve">/run-pipeline</w:t>
      </w:r>
      <w:r>
        <w:t xml:space="preserve"> </w:t>
      </w:r>
      <w:r>
        <w:t xml:space="preserve">invocation is a complete, self-contained execution.</w:t>
      </w:r>
    </w:p>
    <w:p>
      <w:pPr>
        <w:pStyle w:val="Compact"/>
        <w:numPr>
          <w:ilvl w:val="0"/>
          <w:numId w:val="1002"/>
        </w:numPr>
      </w:pPr>
      <w:r>
        <w:rPr>
          <w:b/>
          <w:bCs/>
        </w:rPr>
        <w:t xml:space="preserve">Per-image error isolation</w:t>
      </w:r>
      <w:r>
        <w:t xml:space="preserve"> </w:t>
      </w:r>
      <w:r>
        <w:t xml:space="preserve">— One image failure does not abort the run. Errors are captured in the manifest and the pipeline continues to the next product/format combination.</w:t>
      </w:r>
    </w:p>
    <w:p>
      <w:pPr>
        <w:pStyle w:val="Compact"/>
        <w:numPr>
          <w:ilvl w:val="0"/>
          <w:numId w:val="1002"/>
        </w:numPr>
      </w:pPr>
      <w:r>
        <w:rPr>
          <w:b/>
          <w:bCs/>
        </w:rPr>
        <w:t xml:space="preserve">Three-tier model system</w:t>
      </w:r>
      <w:r>
        <w:t xml:space="preserve"> </w:t>
      </w:r>
      <w:r>
        <w:t xml:space="preserve">—</w:t>
      </w:r>
      <w:r>
        <w:t xml:space="preserve"> </w:t>
      </w:r>
      <w:r>
        <w:rPr>
          <w:rStyle w:val="VerbatimChar"/>
        </w:rPr>
        <w:t xml:space="preserve">dev</w:t>
      </w:r>
      <w:r>
        <w:t xml:space="preserve"> </w:t>
      </w:r>
      <w:r>
        <w:t xml:space="preserve">($0.01/img, Titan V2),</w:t>
      </w:r>
      <w:r>
        <w:t xml:space="preserve"> </w:t>
      </w:r>
      <w:r>
        <w:rPr>
          <w:rStyle w:val="VerbatimChar"/>
        </w:rPr>
        <w:t xml:space="preserve">iterate</w:t>
      </w:r>
      <w:r>
        <w:t xml:space="preserve"> </w:t>
      </w:r>
      <w:r>
        <w:t xml:space="preserve">($0.08/img, Nova Canvas standard),</w:t>
      </w:r>
      <w:r>
        <w:t xml:space="preserve"> </w:t>
      </w:r>
      <w:r>
        <w:rPr>
          <w:rStyle w:val="VerbatimChar"/>
        </w:rPr>
        <w:t xml:space="preserve">final</w:t>
      </w:r>
      <w:r>
        <w:t xml:space="preserve"> </w:t>
      </w:r>
      <w:r>
        <w:t xml:space="preserve">($0.08/img, Nova Canvas premium). Tier selection via</w:t>
      </w:r>
      <w:r>
        <w:t xml:space="preserve"> </w:t>
      </w:r>
      <w:r>
        <w:rPr>
          <w:rStyle w:val="VerbatimChar"/>
        </w:rPr>
        <w:t xml:space="preserve">--model-tier</w:t>
      </w:r>
      <w:r>
        <w:t xml:space="preserve"> </w:t>
      </w:r>
      <w:r>
        <w:t xml:space="preserve">flag.</w:t>
      </w:r>
    </w:p>
    <w:p>
      <w:pPr>
        <w:pStyle w:val="Compact"/>
        <w:numPr>
          <w:ilvl w:val="0"/>
          <w:numId w:val="1002"/>
        </w:numPr>
      </w:pPr>
      <w:r>
        <w:rPr>
          <w:b/>
          <w:bCs/>
        </w:rPr>
        <w:t xml:space="preserve">Disk-based caching</w:t>
      </w:r>
      <w:r>
        <w:t xml:space="preserve"> </w:t>
      </w:r>
      <w:r>
        <w:t xml:space="preserve">— SHA-256 hash of (prompt + dimensions + model_id + negative_prompt) prevents redundant Bedrock API calls across runs.</w:t>
      </w:r>
    </w:p>
    <w:p>
      <w:r>
        <w:pict>
          <v:rect style="width:0;height:1.5pt" o:hralign="center" o:hrstd="t" o:hr="t"/>
        </w:pict>
      </w:r>
    </w:p>
    <w:bookmarkEnd w:id="18"/>
    <w:bookmarkEnd w:id="19"/>
    <w:bookmarkStart w:id="25" w:name="X4dd04f91a86ef109b85c0fcdd2c9422aaef9788"/>
    <w:p>
      <w:pPr>
        <w:pStyle w:val="Heading2"/>
      </w:pPr>
      <w:r>
        <w:t xml:space="preserve">5. Multi-Step Generation Pipeline (The Key Innovation)</w:t>
      </w:r>
    </w:p>
    <w:p>
      <w:pPr>
        <w:pStyle w:val="FirstParagraph"/>
      </w:pPr>
      <w:r>
        <w:t xml:space="preserve">The pipeline makes</w:t>
      </w:r>
      <w:r>
        <w:t xml:space="preserve"> </w:t>
      </w:r>
      <w:r>
        <w:rPr>
          <w:b/>
          <w:bCs/>
        </w:rPr>
        <w:t xml:space="preserve">3 AI calls per image</w:t>
      </w:r>
      <w:r>
        <w:t xml:space="preserve"> </w:t>
      </w:r>
      <w:r>
        <w:t xml:space="preserve">(not just 1), plus a shared brand profiling call per brief. This multi-step approach produces significantly better results than a single generic prompt because each step serves a distinct purpose in the creative chain.</w:t>
      </w:r>
    </w:p>
    <w:bookmarkStart w:id="20" w:name="X99efd9b3e959d0bb60f089c3fe9ea44eb0a4976"/>
    <w:p>
      <w:pPr>
        <w:pStyle w:val="Heading3"/>
      </w:pPr>
      <w:r>
        <w:t xml:space="preserve">5.1 Step 1: Brand Profile Generation (Once per Brief)</w:t>
      </w:r>
    </w:p>
    <w:p>
      <w:pPr>
        <w:pStyle w:val="Compact"/>
        <w:numPr>
          <w:ilvl w:val="0"/>
          <w:numId w:val="1003"/>
        </w:numPr>
      </w:pPr>
      <w:r>
        <w:rPr>
          <w:b/>
          <w:bCs/>
        </w:rPr>
        <w:t xml:space="preserve">Model:</w:t>
      </w:r>
      <w:r>
        <w:t xml:space="preserve"> </w:t>
      </w:r>
      <w:r>
        <w:t xml:space="preserve">Claude Sonnet 4.6 (</w:t>
      </w:r>
      <w:r>
        <w:rPr>
          <w:rStyle w:val="VerbatimChar"/>
        </w:rPr>
        <w:t xml:space="preserve">anthropic.claude-sonnet-4-6</w:t>
      </w:r>
      <w:r>
        <w:t xml:space="preserve">) via structured tool use —</w:t>
      </w:r>
      <w:r>
        <w:t xml:space="preserve"> </w:t>
      </w:r>
      <w:r>
        <w:rPr>
          <w:rStyle w:val="VerbatimChar"/>
        </w:rPr>
        <w:t xml:space="preserve">tool_choice: {"type": "tool", "name": "set_brand_profile"}</w:t>
      </w:r>
      <w:r>
        <w:t xml:space="preserve"> </w:t>
      </w:r>
      <w:r>
        <w:t xml:space="preserve">guarantees schema-conformant JSON output without brittle markdown parsing</w:t>
      </w:r>
    </w:p>
    <w:p>
      <w:pPr>
        <w:pStyle w:val="Compact"/>
        <w:numPr>
          <w:ilvl w:val="0"/>
          <w:numId w:val="1003"/>
        </w:numPr>
      </w:pPr>
      <w:r>
        <w:rPr>
          <w:b/>
          <w:bCs/>
        </w:rPr>
        <w:t xml:space="preserve">Input:</w:t>
      </w:r>
      <w:r>
        <w:t xml:space="preserve"> </w:t>
      </w:r>
      <w:r>
        <w:rPr>
          <w:rStyle w:val="VerbatimChar"/>
        </w:rPr>
        <w:t xml:space="preserve">brand_name</w:t>
      </w:r>
      <w:r>
        <w:t xml:space="preserve">,</w:t>
      </w:r>
      <w:r>
        <w:t xml:space="preserve"> </w:t>
      </w:r>
      <w:r>
        <w:rPr>
          <w:rStyle w:val="VerbatimChar"/>
        </w:rPr>
        <w:t xml:space="preserve">packaging_type</w:t>
      </w:r>
      <w:r>
        <w:t xml:space="preserve">,</w:t>
      </w:r>
      <w:r>
        <w:t xml:space="preserve"> </w:t>
      </w:r>
      <w:r>
        <w:rPr>
          <w:rStyle w:val="VerbatimChar"/>
        </w:rPr>
        <w:t xml:space="preserve">region</w:t>
      </w:r>
      <w:r>
        <w:t xml:space="preserve">,</w:t>
      </w:r>
      <w:r>
        <w:t xml:space="preserve"> </w:t>
      </w:r>
      <w:r>
        <w:rPr>
          <w:rStyle w:val="VerbatimChar"/>
        </w:rPr>
        <w:t xml:space="preserve">audience</w:t>
      </w:r>
      <w:r>
        <w:t xml:space="preserve">,</w:t>
      </w:r>
      <w:r>
        <w:t xml:space="preserve"> </w:t>
      </w:r>
      <w:r>
        <w:rPr>
          <w:rStyle w:val="VerbatimChar"/>
        </w:rPr>
        <w:t xml:space="preserve">cultural_context</w:t>
      </w:r>
      <w:r>
        <w:t xml:space="preserve"> </w:t>
      </w:r>
      <w:r>
        <w:t xml:space="preserve">from the SKU brief</w:t>
      </w:r>
    </w:p>
    <w:p>
      <w:pPr>
        <w:pStyle w:val="Compact"/>
        <w:numPr>
          <w:ilvl w:val="0"/>
          <w:numId w:val="1003"/>
        </w:numPr>
      </w:pPr>
      <w:r>
        <w:rPr>
          <w:b/>
          <w:bCs/>
        </w:rPr>
        <w:t xml:space="preserve">Output:</w:t>
      </w:r>
      <w:r>
        <w:t xml:space="preserve"> </w:t>
      </w:r>
      <w:r>
        <w:t xml:space="preserve">JSON with 6 keys:</w:t>
      </w:r>
      <w:r>
        <w:t xml:space="preserve"> </w:t>
      </w:r>
      <w:r>
        <w:rPr>
          <w:rStyle w:val="VerbatimChar"/>
        </w:rPr>
        <w:t xml:space="preserve">photography_style</w:t>
      </w:r>
      <w:r>
        <w:t xml:space="preserve">,</w:t>
      </w:r>
      <w:r>
        <w:t xml:space="preserve"> </w:t>
      </w:r>
      <w:r>
        <w:rPr>
          <w:rStyle w:val="VerbatimChar"/>
        </w:rPr>
        <w:t xml:space="preserve">color_palette</w:t>
      </w:r>
      <w:r>
        <w:t xml:space="preserve">,</w:t>
      </w:r>
      <w:r>
        <w:t xml:space="preserve"> </w:t>
      </w:r>
      <w:r>
        <w:rPr>
          <w:rStyle w:val="VerbatimChar"/>
        </w:rPr>
        <w:t xml:space="preserve">regional_visual_elements</w:t>
      </w:r>
      <w:r>
        <w:t xml:space="preserve">,</w:t>
      </w:r>
      <w:r>
        <w:t xml:space="preserve"> </w:t>
      </w:r>
      <w:r>
        <w:rPr>
          <w:rStyle w:val="VerbatimChar"/>
        </w:rPr>
        <w:t xml:space="preserve">background_description</w:t>
      </w:r>
      <w:r>
        <w:t xml:space="preserve">,</w:t>
      </w:r>
      <w:r>
        <w:t xml:space="preserve"> </w:t>
      </w:r>
      <w:r>
        <w:rPr>
          <w:rStyle w:val="VerbatimChar"/>
        </w:rPr>
        <w:t xml:space="preserve">packaging_hero_shot</w:t>
      </w:r>
      <w:r>
        <w:t xml:space="preserve">,</w:t>
      </w:r>
      <w:r>
        <w:t xml:space="preserve"> </w:t>
      </w:r>
      <w:r>
        <w:rPr>
          <w:rStyle w:val="VerbatimChar"/>
        </w:rPr>
        <w:t xml:space="preserve">negative_guidance</w:t>
      </w:r>
    </w:p>
    <w:p>
      <w:pPr>
        <w:pStyle w:val="Compact"/>
        <w:numPr>
          <w:ilvl w:val="0"/>
          <w:numId w:val="1003"/>
        </w:numPr>
      </w:pPr>
      <w:r>
        <w:rPr>
          <w:b/>
          <w:bCs/>
        </w:rPr>
        <w:t xml:space="preserve">Why:</w:t>
      </w:r>
      <w:r>
        <w:t xml:space="preserve"> </w:t>
      </w:r>
      <w:r>
        <w:t xml:space="preserve">Ensures ALL images in a run (typically 6: 2 products x 3 formats) share a coherent visual identity. Without this step, each image would be generated independently, producing inconsistent brand representation. Tool use eliminates JSON parse errors vs. the old markdown-fence-stripping approach.</w:t>
      </w:r>
    </w:p>
    <w:p>
      <w:pPr>
        <w:pStyle w:val="Compact"/>
        <w:numPr>
          <w:ilvl w:val="0"/>
          <w:numId w:val="1003"/>
        </w:numPr>
      </w:pPr>
      <w:r>
        <w:rPr>
          <w:b/>
          <w:bCs/>
        </w:rPr>
        <w:t xml:space="preserve">Fallback:</w:t>
      </w:r>
      <w:r>
        <w:t xml:space="preserve"> </w:t>
      </w:r>
      <w:r>
        <w:t xml:space="preserve">Returns a default neutral profile on any error — the pipeline never fails due to brand profiling.</w:t>
      </w:r>
    </w:p>
    <w:p>
      <w:pPr>
        <w:pStyle w:val="Compact"/>
        <w:numPr>
          <w:ilvl w:val="0"/>
          <w:numId w:val="1003"/>
        </w:numPr>
      </w:pPr>
      <w:r>
        <w:rPr>
          <w:b/>
          <w:bCs/>
        </w:rPr>
        <w:t xml:space="preserve">Cost:</w:t>
      </w:r>
      <w:r>
        <w:t xml:space="preserve"> </w:t>
      </w:r>
      <w:r>
        <w:t xml:space="preserve">~$0.006 per brief (~550 input tokens × $0.003/1K + ~280 output tokens × $0.015/1K)</w:t>
      </w:r>
    </w:p>
    <w:bookmarkEnd w:id="20"/>
    <w:bookmarkStart w:id="21" w:name="X77c59a36e5ae8350bbe8a9c3527100e000a3e83"/>
    <w:p>
      <w:pPr>
        <w:pStyle w:val="Heading3"/>
      </w:pPr>
      <w:r>
        <w:t xml:space="preserve">5.2 Step 2: Format-Specific Prompt Construction (Per Image, Zero Cost)</w:t>
      </w:r>
    </w:p>
    <w:p>
      <w:pPr>
        <w:pStyle w:val="FirstParagraph"/>
      </w:pPr>
      <w:r>
        <w:t xml:space="preserve">Uses</w:t>
      </w:r>
      <w:r>
        <w:t xml:space="preserve"> </w:t>
      </w:r>
      <w:r>
        <w:rPr>
          <w:rStyle w:val="VerbatimChar"/>
        </w:rPr>
        <w:t xml:space="preserve">prompt_constructor.py</w:t>
      </w:r>
      <w:r>
        <w:t xml:space="preserve"> </w:t>
      </w:r>
      <w:r>
        <w:t xml:space="preserve">with 3 distinct template builders dispatched by aspect ratio:</w:t>
      </w:r>
    </w:p>
    <w:tbl>
      <w:tblPr>
        <w:tblStyle w:val="Table"/>
        <w:tblW w:type="pct" w:w="5000"/>
        <w:tblLayout w:type="fixed"/>
        <w:tblLook w:firstRow="1" w:lastRow="0" w:firstColumn="0" w:lastColumn="0" w:noHBand="0" w:noVBand="0" w:val="0020"/>
      </w:tblPr>
      <w:tblGrid>
        <w:gridCol w:w="1926"/>
        <w:gridCol w:w="1498"/>
        <w:gridCol w:w="4495"/>
      </w:tblGrid>
      <w:tr>
        <w:trPr>
          <w:tblHeader w:val="on"/>
        </w:trPr>
        <w:tc>
          <w:tcPr/>
          <w:p>
            <w:pPr>
              <w:pStyle w:val="Compact"/>
            </w:pPr>
            <w:r>
              <w:t xml:space="preserve">Builder</w:t>
            </w:r>
          </w:p>
        </w:tc>
        <w:tc>
          <w:tcPr/>
          <w:p>
            <w:pPr>
              <w:pStyle w:val="Compact"/>
            </w:pPr>
            <w:r>
              <w:t xml:space="preserve">Ratio</w:t>
            </w:r>
          </w:p>
        </w:tc>
        <w:tc>
          <w:tcPr/>
          <w:p>
            <w:pPr>
              <w:pStyle w:val="Compact"/>
            </w:pPr>
            <w:r>
              <w:t xml:space="preserve">Composition Strategy</w:t>
            </w:r>
          </w:p>
        </w:tc>
      </w:tr>
      <w:tr>
        <w:tc>
          <w:tcPr/>
          <w:p>
            <w:pPr>
              <w:pStyle w:val="Compact"/>
            </w:pPr>
            <w:r>
              <w:rPr>
                <w:rStyle w:val="VerbatimChar"/>
              </w:rPr>
              <w:t xml:space="preserve">_build_front_label_prompt()</w:t>
            </w:r>
          </w:p>
        </w:tc>
        <w:tc>
          <w:tcPr/>
          <w:p>
            <w:pPr>
              <w:pStyle w:val="Compact"/>
            </w:pPr>
            <w:r>
              <w:t xml:space="preserve">1:1 square</w:t>
            </w:r>
          </w:p>
        </w:tc>
        <w:tc>
          <w:tcPr/>
          <w:p>
            <w:pPr>
              <w:pStyle w:val="Compact"/>
            </w:pPr>
            <w:r>
              <w:t xml:space="preserve">Centered hero shot, clean studio background, single package, front-facing</w:t>
            </w:r>
          </w:p>
        </w:tc>
      </w:tr>
      <w:tr>
        <w:tc>
          <w:tcPr/>
          <w:p>
            <w:pPr>
              <w:pStyle w:val="Compact"/>
            </w:pPr>
            <w:r>
              <w:rPr>
                <w:rStyle w:val="VerbatimChar"/>
              </w:rPr>
              <w:t xml:space="preserve">_build_back_label_prompt()</w:t>
            </w:r>
          </w:p>
        </w:tc>
        <w:tc>
          <w:tcPr/>
          <w:p>
            <w:pPr>
              <w:pStyle w:val="Compact"/>
            </w:pPr>
            <w:r>
              <w:t xml:space="preserve">9:16 portrait</w:t>
            </w:r>
          </w:p>
        </w:tc>
        <w:tc>
          <w:tcPr/>
          <w:p>
            <w:pPr>
              <w:pStyle w:val="Compact"/>
            </w:pPr>
            <w:r>
              <w:t xml:space="preserve">Three-quarter angle, ingredients/texture visible, lifestyle context, vertical</w:t>
            </w:r>
          </w:p>
        </w:tc>
      </w:tr>
      <w:tr>
        <w:tc>
          <w:tcPr/>
          <w:p>
            <w:pPr>
              <w:pStyle w:val="Compact"/>
            </w:pPr>
            <w:r>
              <w:rPr>
                <w:rStyle w:val="VerbatimChar"/>
              </w:rPr>
              <w:t xml:space="preserve">_build_wraparound_prompt()</w:t>
            </w:r>
          </w:p>
        </w:tc>
        <w:tc>
          <w:tcPr/>
          <w:p>
            <w:pPr>
              <w:pStyle w:val="Compact"/>
            </w:pPr>
            <w:r>
              <w:t xml:space="preserve">16:9 wide</w:t>
            </w:r>
          </w:p>
        </w:tc>
        <w:tc>
          <w:tcPr/>
          <w:p>
            <w:pPr>
              <w:pStyle w:val="Compact"/>
            </w:pPr>
            <w:r>
              <w:t xml:space="preserve">Panoramic brand story, ingredients artfully scattered, cinematic horizontal</w:t>
            </w:r>
          </w:p>
        </w:tc>
      </w:tr>
    </w:tbl>
    <w:p>
      <w:pPr>
        <w:pStyle w:val="BodyText"/>
      </w:pPr>
      <w:r>
        <w:t xml:space="preserve">Each builder returns a</w:t>
      </w:r>
      <w:r>
        <w:t xml:space="preserve"> </w:t>
      </w:r>
      <w:r>
        <w:rPr>
          <w:rStyle w:val="VerbatimChar"/>
        </w:rPr>
        <w:t xml:space="preserve">(positive_prompt, negative_prompt)</w:t>
      </w:r>
      <w:r>
        <w:t xml:space="preserve"> </w:t>
      </w:r>
      <w:r>
        <w:t xml:space="preserve">tuple. The negative prompt universally blocks: text/letters/words (prevents AI text hallucination on packaging), cartoon/illustration, duplicate packages, watermarks, and low quality artifacts. Brand-specific negative guidance from Step 1 is appended.</w:t>
      </w:r>
    </w:p>
    <w:p>
      <w:pPr>
        <w:pStyle w:val="BodyText"/>
      </w:pPr>
      <w:r>
        <w:t xml:space="preserve">All SKU brief fields are sanitized via</w:t>
      </w:r>
      <w:r>
        <w:t xml:space="preserve"> </w:t>
      </w:r>
      <w:r>
        <w:rPr>
          <w:rStyle w:val="VerbatimChar"/>
        </w:rPr>
        <w:t xml:space="preserve">_sanitize()</w:t>
      </w:r>
      <w:r>
        <w:t xml:space="preserve"> </w:t>
      </w:r>
      <w:r>
        <w:t xml:space="preserve">before interpolation to prevent prompt injection.</w:t>
      </w:r>
    </w:p>
    <w:bookmarkEnd w:id="21"/>
    <w:bookmarkStart w:id="22" w:name="Xbc9f374efa8265d65fde0dfaf1e599d56e1b286"/>
    <w:p>
      <w:pPr>
        <w:pStyle w:val="Heading3"/>
      </w:pPr>
      <w:r>
        <w:t xml:space="preserve">5.3 Step 3: Prompt Enhancement via Claude Sonnet 4.6 (Per Image)</w:t>
      </w:r>
    </w:p>
    <w:p>
      <w:pPr>
        <w:pStyle w:val="Compact"/>
        <w:numPr>
          <w:ilvl w:val="0"/>
          <w:numId w:val="1004"/>
        </w:numPr>
      </w:pPr>
      <w:r>
        <w:rPr>
          <w:b/>
          <w:bCs/>
        </w:rPr>
        <w:t xml:space="preserve">Model:</w:t>
      </w:r>
      <w:r>
        <w:t xml:space="preserve"> </w:t>
      </w:r>
      <w:r>
        <w:t xml:space="preserve">Claude Sonnet 4.6 (</w:t>
      </w:r>
      <w:r>
        <w:rPr>
          <w:rStyle w:val="VerbatimChar"/>
        </w:rPr>
        <w:t xml:space="preserve">anthropic.claude-sonnet-4-6</w:t>
      </w:r>
      <w:r>
        <w:t xml:space="preserve">) via</w:t>
      </w:r>
      <w:r>
        <w:t xml:space="preserve"> </w:t>
      </w:r>
      <w:r>
        <w:rPr>
          <w:rStyle w:val="VerbatimChar"/>
        </w:rPr>
        <w:t xml:space="preserve">AnthropicBedrock</w:t>
      </w:r>
      <w:r>
        <w:t xml:space="preserve"> </w:t>
      </w:r>
      <w:r>
        <w:t xml:space="preserve">client</w:t>
      </w:r>
    </w:p>
    <w:p>
      <w:pPr>
        <w:pStyle w:val="Compact"/>
        <w:numPr>
          <w:ilvl w:val="0"/>
          <w:numId w:val="1004"/>
        </w:numPr>
      </w:pPr>
      <w:r>
        <w:rPr>
          <w:b/>
          <w:bCs/>
        </w:rPr>
        <w:t xml:space="preserve">Purpose:</w:t>
      </w:r>
      <w:r>
        <w:t xml:space="preserve"> </w:t>
      </w:r>
      <w:r>
        <w:t xml:space="preserve">Refines the format-specific prompt for better Bedrock image model compatibility — improving specificity, visual language, and composition instructions</w:t>
      </w:r>
    </w:p>
    <w:p>
      <w:pPr>
        <w:pStyle w:val="Compact"/>
        <w:numPr>
          <w:ilvl w:val="0"/>
          <w:numId w:val="1004"/>
        </w:numPr>
      </w:pPr>
      <w:r>
        <w:rPr>
          <w:b/>
          <w:bCs/>
        </w:rPr>
        <w:t xml:space="preserve">System prompt:</w:t>
      </w:r>
      <w:r>
        <w:t xml:space="preserve"> </w:t>
      </w:r>
      <w:r>
        <w:rPr>
          <w:rStyle w:val="VerbatimChar"/>
        </w:rPr>
        <w:t xml:space="preserve">"You are a packaging design expert. Improve the following image generation prompt for better visual quality. Return ONLY the improved prompt text, nothing else."</w:t>
      </w:r>
    </w:p>
    <w:p>
      <w:pPr>
        <w:pStyle w:val="Compact"/>
        <w:numPr>
          <w:ilvl w:val="0"/>
          <w:numId w:val="1004"/>
        </w:numPr>
      </w:pPr>
      <w:r>
        <w:rPr>
          <w:b/>
          <w:bCs/>
        </w:rPr>
        <w:t xml:space="preserve">Fallback:</w:t>
      </w:r>
      <w:r>
        <w:t xml:space="preserve"> </w:t>
      </w:r>
      <w:r>
        <w:t xml:space="preserve">Returns base prompt on any error — prompt enhancement is a non-critical optimization path</w:t>
      </w:r>
    </w:p>
    <w:p>
      <w:pPr>
        <w:pStyle w:val="Compact"/>
        <w:numPr>
          <w:ilvl w:val="0"/>
          <w:numId w:val="1004"/>
        </w:numPr>
      </w:pPr>
      <w:r>
        <w:rPr>
          <w:b/>
          <w:bCs/>
        </w:rPr>
        <w:t xml:space="preserve">Cost:</w:t>
      </w:r>
      <w:r>
        <w:t xml:space="preserve"> </w:t>
      </w:r>
      <w:r>
        <w:t xml:space="preserve">~$0.001 per call (256 max tokens)</w:t>
      </w:r>
    </w:p>
    <w:bookmarkEnd w:id="22"/>
    <w:bookmarkStart w:id="23" w:name="X0103fe44cabd171f88d3ba1057892a4e6727fad"/>
    <w:p>
      <w:pPr>
        <w:pStyle w:val="Heading3"/>
      </w:pPr>
      <w:r>
        <w:t xml:space="preserve">5.4 Step 4: Image Generation via Nova Canvas (Per Image)</w:t>
      </w:r>
    </w:p>
    <w:p>
      <w:pPr>
        <w:pStyle w:val="Compact"/>
        <w:numPr>
          <w:ilvl w:val="0"/>
          <w:numId w:val="1005"/>
        </w:numPr>
      </w:pPr>
      <w:r>
        <w:rPr>
          <w:b/>
          <w:bCs/>
        </w:rPr>
        <w:t xml:space="preserve">Model:</w:t>
      </w:r>
      <w:r>
        <w:t xml:space="preserve"> </w:t>
      </w:r>
      <w:r>
        <w:t xml:space="preserve">Amazon Nova Canvas v1:0 (primary) or Titan Image V2:0 (dev fallback)</w:t>
      </w:r>
    </w:p>
    <w:p>
      <w:pPr>
        <w:pStyle w:val="Compact"/>
        <w:numPr>
          <w:ilvl w:val="0"/>
          <w:numId w:val="1005"/>
        </w:numPr>
      </w:pPr>
      <w:r>
        <w:rPr>
          <w:b/>
          <w:bCs/>
        </w:rPr>
        <w:t xml:space="preserve">Quality setting:</w:t>
      </w:r>
      <w:r>
        <w:t xml:space="preserve"> </w:t>
      </w:r>
      <w:r>
        <w:rPr>
          <w:rStyle w:val="VerbatimChar"/>
        </w:rPr>
        <w:t xml:space="preserve">"premium"</w:t>
      </w:r>
      <w:r>
        <w:t xml:space="preserve"> </w:t>
      </w:r>
      <w:r>
        <w:t xml:space="preserve">for Nova Canvas (vs. </w:t>
      </w:r>
      <w:r>
        <w:rPr>
          <w:rStyle w:val="VerbatimChar"/>
        </w:rPr>
        <w:t xml:space="preserve">"standard"</w:t>
      </w:r>
      <w:r>
        <w:t xml:space="preserve"> </w:t>
      </w:r>
      <w:r>
        <w:t xml:space="preserve">default) — produces better composition, lighting, and detail</w:t>
      </w:r>
    </w:p>
    <w:p>
      <w:pPr>
        <w:pStyle w:val="Compact"/>
        <w:numPr>
          <w:ilvl w:val="0"/>
          <w:numId w:val="1005"/>
        </w:numPr>
      </w:pPr>
      <w:r>
        <w:rPr>
          <w:b/>
          <w:bCs/>
        </w:rPr>
        <w:t xml:space="preserve">cfgScale:</w:t>
      </w:r>
      <w:r>
        <w:t xml:space="preserve"> </w:t>
      </w:r>
      <w:r>
        <w:t xml:space="preserve">8.5 — higher prompt adherence reduces AI text hallucination on packaging surfaces</w:t>
      </w:r>
    </w:p>
    <w:p>
      <w:pPr>
        <w:pStyle w:val="Compact"/>
        <w:numPr>
          <w:ilvl w:val="0"/>
          <w:numId w:val="1005"/>
        </w:numPr>
      </w:pPr>
      <w:r>
        <w:rPr>
          <w:b/>
          <w:bCs/>
        </w:rPr>
        <w:t xml:space="preserve">Negative prompts:</w:t>
      </w:r>
      <w:r>
        <w:t xml:space="preserve"> </w:t>
      </w:r>
      <w:r>
        <w:t xml:space="preserve">Passed via</w:t>
      </w:r>
      <w:r>
        <w:t xml:space="preserve"> </w:t>
      </w:r>
      <w:r>
        <w:rPr>
          <w:rStyle w:val="VerbatimChar"/>
        </w:rPr>
        <w:t xml:space="preserve">negativeText</w:t>
      </w:r>
      <w:r>
        <w:t xml:space="preserve"> </w:t>
      </w:r>
      <w:r>
        <w:t xml:space="preserve">parameter (Nova Canvas native feature)</w:t>
      </w:r>
    </w:p>
    <w:p>
      <w:pPr>
        <w:pStyle w:val="Compact"/>
        <w:numPr>
          <w:ilvl w:val="0"/>
          <w:numId w:val="1005"/>
        </w:numPr>
      </w:pPr>
      <w:r>
        <w:rPr>
          <w:b/>
          <w:bCs/>
        </w:rPr>
        <w:t xml:space="preserve">Dimensions:</w:t>
      </w:r>
      <w:r>
        <w:t xml:space="preserve"> </w:t>
      </w:r>
      <w:r>
        <w:t xml:space="preserve">1024x1024 (1:1), 576x1024 (9:16), 1024x576 (16:9) — all native Nova Canvas resolutions</w:t>
      </w:r>
    </w:p>
    <w:p>
      <w:pPr>
        <w:pStyle w:val="Compact"/>
        <w:numPr>
          <w:ilvl w:val="0"/>
          <w:numId w:val="1005"/>
        </w:numPr>
      </w:pPr>
      <w:r>
        <w:rPr>
          <w:b/>
          <w:bCs/>
        </w:rPr>
        <w:t xml:space="preserve">Retry:</w:t>
      </w:r>
      <w:r>
        <w:t xml:space="preserve"> </w:t>
      </w:r>
      <w:r>
        <w:t xml:space="preserve">3 attempts with exponential backoff (2^n seconds); falls back to dev tier on persistent throttling</w:t>
      </w:r>
    </w:p>
    <w:p>
      <w:pPr>
        <w:pStyle w:val="Compact"/>
        <w:numPr>
          <w:ilvl w:val="0"/>
          <w:numId w:val="1005"/>
        </w:numPr>
      </w:pPr>
      <w:r>
        <w:rPr>
          <w:b/>
          <w:bCs/>
        </w:rPr>
        <w:t xml:space="preserve">Caching:</w:t>
      </w:r>
      <w:r>
        <w:t xml:space="preserve"> </w:t>
      </w:r>
      <w:r>
        <w:t xml:space="preserve">SHA-256(prompt + width + height + model_id + negative_prompt) as disk cache key at</w:t>
      </w:r>
      <w:r>
        <w:t xml:space="preserve"> </w:t>
      </w:r>
      <w:r>
        <w:rPr>
          <w:rStyle w:val="VerbatimChar"/>
        </w:rPr>
        <w:t xml:space="preserve">~/.cache/pai-pipeline/</w:t>
      </w:r>
    </w:p>
    <w:p>
      <w:pPr>
        <w:pStyle w:val="Compact"/>
        <w:numPr>
          <w:ilvl w:val="0"/>
          <w:numId w:val="1005"/>
        </w:numPr>
      </w:pPr>
      <w:r>
        <w:rPr>
          <w:b/>
          <w:bCs/>
        </w:rPr>
        <w:t xml:space="preserve">Cost:</w:t>
      </w:r>
      <w:r>
        <w:t xml:space="preserve"> </w:t>
      </w:r>
      <w:r>
        <w:t xml:space="preserve">$0.08/image (premium) or $0.01/image (Titan dev)</w:t>
      </w:r>
    </w:p>
    <w:bookmarkEnd w:id="23"/>
    <w:bookmarkStart w:id="24" w:name="Xa938383b8da025f8370c8db82a658dc0627f729"/>
    <w:p>
      <w:pPr>
        <w:pStyle w:val="Heading3"/>
      </w:pPr>
      <w:r>
        <w:t xml:space="preserve">5.5 Step 5: Text Overlay Compositing (Per Image)</w:t>
      </w:r>
    </w:p>
    <w:p>
      <w:pPr>
        <w:pStyle w:val="Compact"/>
        <w:numPr>
          <w:ilvl w:val="0"/>
          <w:numId w:val="1006"/>
        </w:numPr>
      </w:pPr>
      <w:r>
        <w:rPr>
          <w:b/>
          <w:bCs/>
        </w:rPr>
        <w:t xml:space="preserve">Engine:</w:t>
      </w:r>
      <w:r>
        <w:t xml:space="preserve"> </w:t>
      </w:r>
      <w:r>
        <w:t xml:space="preserve">Pillow (PIL) with RGBA alpha compositing</w:t>
      </w:r>
    </w:p>
    <w:p>
      <w:pPr>
        <w:pStyle w:val="Compact"/>
        <w:numPr>
          <w:ilvl w:val="0"/>
          <w:numId w:val="1006"/>
        </w:numPr>
      </w:pPr>
      <w:r>
        <w:rPr>
          <w:b/>
          <w:bCs/>
        </w:rPr>
        <w:t xml:space="preserve">Content:</w:t>
      </w:r>
      <w:r>
        <w:t xml:space="preserve"> </w:t>
      </w:r>
      <w:r>
        <w:t xml:space="preserve">Brand name, product flavor, up to 4 attribute badges (e.g., ORGANIC, NON-GMO, HIGH-PROTEIN, GLUTEN-FREE), and regulatory footer text</w:t>
      </w:r>
    </w:p>
    <w:p>
      <w:pPr>
        <w:pStyle w:val="Compact"/>
        <w:numPr>
          <w:ilvl w:val="0"/>
          <w:numId w:val="1006"/>
        </w:numPr>
      </w:pPr>
      <w:r>
        <w:rPr>
          <w:b/>
          <w:bCs/>
        </w:rPr>
        <w:t xml:space="preserve">Layout:</w:t>
      </w:r>
      <w:r>
        <w:t xml:space="preserve"> </w:t>
      </w:r>
      <w:r>
        <w:t xml:space="preserve">Format-aware positioning — 3 distinct layout configurations for 1:1, 9:16, and 16:9 aspect ratios with different font sizes, Y-positions, and strip heights</w:t>
      </w:r>
    </w:p>
    <w:p>
      <w:pPr>
        <w:pStyle w:val="Compact"/>
        <w:numPr>
          <w:ilvl w:val="0"/>
          <w:numId w:val="1006"/>
        </w:numPr>
      </w:pPr>
      <w:r>
        <w:rPr>
          <w:b/>
          <w:bCs/>
        </w:rPr>
        <w:t xml:space="preserve">Style:</w:t>
      </w:r>
      <w:r>
        <w:t xml:space="preserve"> </w:t>
      </w:r>
      <w:r>
        <w:t xml:space="preserve">Semi-transparent background strips behind title and regulatory text; solid white pill badges for attributes</w:t>
      </w:r>
    </w:p>
    <w:p>
      <w:pPr>
        <w:pStyle w:val="Compact"/>
        <w:numPr>
          <w:ilvl w:val="0"/>
          <w:numId w:val="1006"/>
        </w:numPr>
      </w:pPr>
      <w:r>
        <w:rPr>
          <w:b/>
          <w:bCs/>
        </w:rPr>
        <w:t xml:space="preserve">Font fallback chain:</w:t>
      </w:r>
      <w:r>
        <w:t xml:space="preserve"> </w:t>
      </w:r>
      <w:r>
        <w:t xml:space="preserve">arial.ttf -&gt; DejaVuSans.ttf -&gt; LiberationSans-Regular.ttf -&gt; Pillow default bitmap font</w:t>
      </w:r>
    </w:p>
    <w:p>
      <w:r>
        <w:pict>
          <v:rect style="width:0;height:1.5pt" o:hralign="center" o:hrstd="t" o:hr="t"/>
        </w:pict>
      </w:r>
    </w:p>
    <w:bookmarkEnd w:id="24"/>
    <w:bookmarkEnd w:id="25"/>
    <w:bookmarkStart w:id="30" w:name="data-flow"/>
    <w:p>
      <w:pPr>
        <w:pStyle w:val="Heading2"/>
      </w:pPr>
      <w:r>
        <w:t xml:space="preserve">6. Data Flow</w:t>
      </w:r>
    </w:p>
    <w:bookmarkStart w:id="29" w:name="sequence-diagram"/>
    <w:p>
      <w:pPr>
        <w:pStyle w:val="Heading3"/>
      </w:pPr>
      <w:r>
        <w:t xml:space="preserve">Sequence Diagram</w:t>
      </w:r>
    </w:p>
    <w:p>
      <w:pPr>
        <w:pStyle w:val="FirstParagraph"/>
      </w:pPr>
      <w:r>
        <w:drawing>
          <wp:inline>
            <wp:extent cx="5334000" cy="2701017"/>
            <wp:effectExtent b="0" l="0" r="0" t="0"/>
            <wp:docPr descr="Diagram: sequenceDiagram" title="" id="27" name="Picture"/>
            <a:graphic>
              <a:graphicData uri="http://schemas.openxmlformats.org/drawingml/2006/picture">
                <pic:pic>
                  <pic:nvPicPr>
                    <pic:cNvPr descr="C:\Users\paulp\AppData\Local\Temp\md-to-docx-HolQ1E\diagram-1.png" id="28" name="Picture"/>
                    <pic:cNvPicPr>
                      <a:picLocks noChangeArrowheads="1" noChangeAspect="1"/>
                    </pic:cNvPicPr>
                  </pic:nvPicPr>
                  <pic:blipFill>
                    <a:blip r:embed="rId26"/>
                    <a:stretch>
                      <a:fillRect/>
                    </a:stretch>
                  </pic:blipFill>
                  <pic:spPr bwMode="auto">
                    <a:xfrm>
                      <a:off x="0" y="0"/>
                      <a:ext cx="5334000" cy="2701017"/>
                    </a:xfrm>
                    <a:prstGeom prst="rect">
                      <a:avLst/>
                    </a:prstGeom>
                    <a:noFill/>
                    <a:ln w="9525">
                      <a:noFill/>
                      <a:headEnd/>
                      <a:tailEnd/>
                    </a:ln>
                  </pic:spPr>
                </pic:pic>
              </a:graphicData>
            </a:graphic>
          </wp:inline>
        </w:drawing>
      </w:r>
      <w:r>
        <w:t xml:space="preserve"> </w:t>
      </w:r>
      <w:r>
        <w:t xml:space="preserve">### S3 Output Structure</w:t>
      </w:r>
    </w:p>
    <w:p>
      <w:pPr>
        <w:pStyle w:val="SourceCode"/>
      </w:pPr>
      <w:r>
        <w:rPr>
          <w:rStyle w:val="VerbatimChar"/>
        </w:rPr>
        <w:t xml:space="preserve">&lt;OUTPUT_BUCKET&gt;/</w:t>
      </w:r>
      <w:r>
        <w:br/>
      </w:r>
      <w:r>
        <w:rPr>
          <w:rStyle w:val="VerbatimChar"/>
        </w:rPr>
        <w:t xml:space="preserve">  alpine-harvest-trail-mix/</w:t>
      </w:r>
      <w:r>
        <w:br/>
      </w:r>
      <w:r>
        <w:rPr>
          <w:rStyle w:val="VerbatimChar"/>
        </w:rPr>
        <w:t xml:space="preserve">    us-west/</w:t>
      </w:r>
      <w:r>
        <w:br/>
      </w:r>
      <w:r>
        <w:rPr>
          <w:rStyle w:val="VerbatimChar"/>
        </w:rPr>
        <w:t xml:space="preserve">      front_label/</w:t>
      </w:r>
      <w:r>
        <w:br/>
      </w:r>
      <w:r>
        <w:rPr>
          <w:rStyle w:val="VerbatimChar"/>
        </w:rPr>
        <w:t xml:space="preserve">        original.png          (1024x1024)</w:t>
      </w:r>
      <w:r>
        <w:br/>
      </w:r>
      <w:r>
        <w:rPr>
          <w:rStyle w:val="VerbatimChar"/>
        </w:rPr>
        <w:t xml:space="preserve">        dark-chocolate.png    (1024x1024)</w:t>
      </w:r>
      <w:r>
        <w:br/>
      </w:r>
      <w:r>
        <w:rPr>
          <w:rStyle w:val="VerbatimChar"/>
        </w:rPr>
        <w:t xml:space="preserve">      back_label/</w:t>
      </w:r>
      <w:r>
        <w:br/>
      </w:r>
      <w:r>
        <w:rPr>
          <w:rStyle w:val="VerbatimChar"/>
        </w:rPr>
        <w:t xml:space="preserve">        original.png          (576x1024)</w:t>
      </w:r>
      <w:r>
        <w:br/>
      </w:r>
      <w:r>
        <w:rPr>
          <w:rStyle w:val="VerbatimChar"/>
        </w:rPr>
        <w:t xml:space="preserve">        dark-chocolate.png    (576x1024)</w:t>
      </w:r>
      <w:r>
        <w:br/>
      </w:r>
      <w:r>
        <w:rPr>
          <w:rStyle w:val="VerbatimChar"/>
        </w:rPr>
        <w:t xml:space="preserve">      wraparound/</w:t>
      </w:r>
      <w:r>
        <w:br/>
      </w:r>
      <w:r>
        <w:rPr>
          <w:rStyle w:val="VerbatimChar"/>
        </w:rPr>
        <w:t xml:space="preserve">        original.png          (1024x576)</w:t>
      </w:r>
      <w:r>
        <w:br/>
      </w:r>
      <w:r>
        <w:rPr>
          <w:rStyle w:val="VerbatimChar"/>
        </w:rPr>
        <w:t xml:space="preserve">        dark-chocolate.png    (1024x576)</w:t>
      </w:r>
      <w:r>
        <w:br/>
      </w:r>
      <w:r>
        <w:rPr>
          <w:rStyle w:val="VerbatimChar"/>
        </w:rPr>
        <w:t xml:space="preserve">      manifest.json</w:t>
      </w:r>
      <w:r>
        <w:br/>
      </w:r>
      <w:r>
        <w:rPr>
          <w:rStyle w:val="VerbatimChar"/>
        </w:rPr>
        <w:t xml:space="preserve">    latam/</w:t>
      </w:r>
      <w:r>
        <w:br/>
      </w:r>
      <w:r>
        <w:rPr>
          <w:rStyle w:val="VerbatimChar"/>
        </w:rPr>
        <w:t xml:space="preserve">      ...</w:t>
      </w:r>
      <w:r>
        <w:br/>
      </w:r>
      <w:r>
        <w:rPr>
          <w:rStyle w:val="VerbatimChar"/>
        </w:rPr>
        <w:t xml:space="preserve">    apac/</w:t>
      </w:r>
      <w:r>
        <w:br/>
      </w:r>
      <w:r>
        <w:rPr>
          <w:rStyle w:val="VerbatimChar"/>
        </w:rPr>
        <w:t xml:space="preserve">      ...</w:t>
      </w:r>
      <w:r>
        <w:br/>
      </w:r>
      <w:r>
        <w:rPr>
          <w:rStyle w:val="VerbatimChar"/>
        </w:rPr>
        <w:t xml:space="preserve">    eu/</w:t>
      </w:r>
      <w:r>
        <w:br/>
      </w:r>
      <w:r>
        <w:rPr>
          <w:rStyle w:val="VerbatimChar"/>
        </w:rPr>
        <w:t xml:space="preserve">      ...</w:t>
      </w:r>
    </w:p>
    <w:p>
      <w:r>
        <w:pict>
          <v:rect style="width:0;height:1.5pt" o:hralign="center" o:hrstd="t" o:hr="t"/>
        </w:pict>
      </w:r>
    </w:p>
    <w:bookmarkEnd w:id="29"/>
    <w:bookmarkEnd w:id="30"/>
    <w:bookmarkStart w:id="31" w:name="component-design"/>
    <w:p>
      <w:pPr>
        <w:pStyle w:val="Heading2"/>
      </w:pPr>
      <w:r>
        <w:t xml:space="preserve">7. Component Design</w:t>
      </w:r>
    </w:p>
    <w:tbl>
      <w:tblPr>
        <w:tblStyle w:val="Table"/>
        <w:tblW w:type="pct" w:w="5000"/>
        <w:tblLayout w:type="fixed"/>
        <w:tblLook w:firstRow="1" w:lastRow="0" w:firstColumn="0" w:lastColumn="0" w:noHBand="0" w:noVBand="0" w:val="0020"/>
      </w:tblPr>
      <w:tblGrid>
        <w:gridCol w:w="3004"/>
        <w:gridCol w:w="3004"/>
        <w:gridCol w:w="1911"/>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Notes</w:t>
            </w:r>
          </w:p>
        </w:tc>
      </w:tr>
      <w:tr>
        <w:tc>
          <w:tcPr/>
          <w:p>
            <w:pPr>
              <w:pStyle w:val="Compact"/>
            </w:pPr>
            <w:r>
              <w:t xml:space="preserve">Interface</w:t>
            </w:r>
          </w:p>
        </w:tc>
        <w:tc>
          <w:tcPr/>
          <w:p>
            <w:pPr>
              <w:pStyle w:val="Compact"/>
            </w:pPr>
            <w:r>
              <w:t xml:space="preserve">8 Claude Code skills</w:t>
            </w:r>
          </w:p>
        </w:tc>
        <w:tc>
          <w:tcPr/>
          <w:p>
            <w:pPr>
              <w:pStyle w:val="Compact"/>
            </w:pPr>
            <w:r>
              <w:rPr>
                <w:rStyle w:val="VerbatimChar"/>
              </w:rPr>
              <w:t xml:space="preserve">/run-pipeline</w:t>
            </w:r>
            <w:r>
              <w:t xml:space="preserve">,</w:t>
            </w:r>
            <w:r>
              <w:t xml:space="preserve"> </w:t>
            </w:r>
            <w:r>
              <w:rPr>
                <w:rStyle w:val="VerbatimChar"/>
              </w:rPr>
              <w:t xml:space="preserve">/health-check</w:t>
            </w:r>
            <w:r>
              <w:t xml:space="preserve">,</w:t>
            </w:r>
            <w:r>
              <w:t xml:space="preserve"> </w:t>
            </w:r>
            <w:r>
              <w:rPr>
                <w:rStyle w:val="VerbatimChar"/>
              </w:rPr>
              <w:t xml:space="preserve">/deploy</w:t>
            </w:r>
            <w:r>
              <w:t xml:space="preserve">,</w:t>
            </w:r>
            <w:r>
              <w:t xml:space="preserve"> </w:t>
            </w:r>
            <w:r>
              <w:rPr>
                <w:rStyle w:val="VerbatimChar"/>
              </w:rPr>
              <w:t xml:space="preserve">/teardown</w:t>
            </w:r>
            <w:r>
              <w:t xml:space="preserve">,</w:t>
            </w:r>
            <w:r>
              <w:t xml:space="preserve"> </w:t>
            </w:r>
            <w:r>
              <w:rPr>
                <w:rStyle w:val="VerbatimChar"/>
              </w:rPr>
              <w:t xml:space="preserve">/view-results</w:t>
            </w:r>
            <w:r>
              <w:t xml:space="preserve">,</w:t>
            </w:r>
            <w:r>
              <w:t xml:space="preserve"> </w:t>
            </w:r>
            <w:r>
              <w:rPr>
                <w:rStyle w:val="VerbatimChar"/>
              </w:rPr>
              <w:t xml:space="preserve">/pipeline-status</w:t>
            </w:r>
            <w:r>
              <w:t xml:space="preserve">,</w:t>
            </w:r>
            <w:r>
              <w:t xml:space="preserve"> </w:t>
            </w:r>
            <w:r>
              <w:rPr>
                <w:rStyle w:val="VerbatimChar"/>
              </w:rPr>
              <w:t xml:space="preserve">/run-tests</w:t>
            </w:r>
            <w:r>
              <w:t xml:space="preserve">,</w:t>
            </w:r>
            <w:r>
              <w:t xml:space="preserve"> </w:t>
            </w:r>
            <w:r>
              <w:rPr>
                <w:rStyle w:val="VerbatimChar"/>
              </w:rPr>
              <w:t xml:space="preserve">/generate-demo</w:t>
            </w:r>
          </w:p>
        </w:tc>
      </w:tr>
      <w:tr>
        <w:tc>
          <w:tcPr/>
          <w:p>
            <w:pPr>
              <w:pStyle w:val="Compact"/>
            </w:pPr>
            <w:r>
              <w:t xml:space="preserve">SKU Parser</w:t>
            </w:r>
          </w:p>
        </w:tc>
        <w:tc>
          <w:tcPr/>
          <w:p>
            <w:pPr>
              <w:pStyle w:val="Compact"/>
            </w:pPr>
            <w:r>
              <w:t xml:space="preserve">jsonschema</w:t>
            </w:r>
          </w:p>
        </w:tc>
        <w:tc>
          <w:tcPr/>
          <w:p>
            <w:pPr>
              <w:pStyle w:val="Compact"/>
            </w:pPr>
            <w:r>
              <w:t xml:space="preserve">Validates against</w:t>
            </w:r>
            <w:r>
              <w:t xml:space="preserve"> </w:t>
            </w:r>
            <w:r>
              <w:rPr>
                <w:rStyle w:val="VerbatimChar"/>
              </w:rPr>
              <w:t xml:space="preserve">src/schemas/sku_brief_schema.json</w:t>
            </w:r>
          </w:p>
        </w:tc>
      </w:tr>
      <w:tr>
        <w:tc>
          <w:tcPr/>
          <w:p>
            <w:pPr>
              <w:pStyle w:val="Compact"/>
            </w:pPr>
            <w:r>
              <w:t xml:space="preserve">Asset Manager</w:t>
            </w:r>
          </w:p>
        </w:tc>
        <w:tc>
          <w:tcPr/>
          <w:p>
            <w:pPr>
              <w:pStyle w:val="Compact"/>
            </w:pPr>
            <w:r>
              <w:t xml:space="preserve">boto3 S3</w:t>
            </w:r>
          </w:p>
        </w:tc>
        <w:tc>
          <w:tcPr/>
          <w:p>
            <w:pPr>
              <w:pStyle w:val="Compact"/>
            </w:pPr>
            <w:r>
              <w:t xml:space="preserve">Key builder:</w:t>
            </w:r>
            <w:r>
              <w:t xml:space="preserve"> </w:t>
            </w:r>
            <w:r>
              <w:rPr>
                <w:rStyle w:val="VerbatimChar"/>
              </w:rPr>
              <w:t xml:space="preserve">{SKU}/{region}/{format}/</w:t>
            </w:r>
          </w:p>
        </w:tc>
      </w:tr>
      <w:tr>
        <w:tc>
          <w:tcPr/>
          <w:p>
            <w:pPr>
              <w:pStyle w:val="Compact"/>
            </w:pPr>
            <w:r>
              <w:t xml:space="preserve">Prompt Constructor</w:t>
            </w:r>
          </w:p>
        </w:tc>
        <w:tc>
          <w:tcPr/>
          <w:p>
            <w:pPr>
              <w:pStyle w:val="Compact"/>
            </w:pPr>
            <w:r>
              <w:t xml:space="preserve">Python f-strings</w:t>
            </w:r>
          </w:p>
        </w:tc>
        <w:tc>
          <w:tcPr/>
          <w:p>
            <w:pPr>
              <w:pStyle w:val="Compact"/>
            </w:pPr>
            <w:r>
              <w:t xml:space="preserve">3 format-specific builders;</w:t>
            </w:r>
            <w:r>
              <w:t xml:space="preserve"> </w:t>
            </w:r>
            <w:r>
              <w:rPr>
                <w:rStyle w:val="VerbatimChar"/>
              </w:rPr>
              <w:t xml:space="preserve">_sanitize()</w:t>
            </w:r>
            <w:r>
              <w:t xml:space="preserve"> </w:t>
            </w:r>
            <w:r>
              <w:t xml:space="preserve">on all inputs</w:t>
            </w:r>
          </w:p>
        </w:tc>
      </w:tr>
      <w:tr>
        <w:tc>
          <w:tcPr/>
          <w:p>
            <w:pPr>
              <w:pStyle w:val="Compact"/>
            </w:pPr>
            <w:r>
              <w:t xml:space="preserve">Image Generator</w:t>
            </w:r>
          </w:p>
        </w:tc>
        <w:tc>
          <w:tcPr/>
          <w:p>
            <w:pPr>
              <w:pStyle w:val="Compact"/>
            </w:pPr>
            <w:r>
              <w:t xml:space="preserve">boto3 Bedrock runtime</w:t>
            </w:r>
          </w:p>
        </w:tc>
        <w:tc>
          <w:tcPr/>
          <w:p>
            <w:pPr>
              <w:pStyle w:val="Compact"/>
            </w:pPr>
            <w:r>
              <w:t xml:space="preserve">3-attempt retry, tier fallback, SHA-256 disk cache</w:t>
            </w:r>
          </w:p>
        </w:tc>
      </w:tr>
      <w:tr>
        <w:tc>
          <w:tcPr/>
          <w:p>
            <w:pPr>
              <w:pStyle w:val="Compact"/>
            </w:pPr>
            <w:r>
              <w:t xml:space="preserve">Text Overlay</w:t>
            </w:r>
          </w:p>
        </w:tc>
        <w:tc>
          <w:tcPr/>
          <w:p>
            <w:pPr>
              <w:pStyle w:val="Compact"/>
            </w:pPr>
            <w:r>
              <w:t xml:space="preserve">Pillow</w:t>
            </w:r>
          </w:p>
        </w:tc>
        <w:tc>
          <w:tcPr/>
          <w:p>
            <w:pPr>
              <w:pStyle w:val="Compact"/>
            </w:pPr>
            <w:r>
              <w:t xml:space="preserve">3 layouts (1:1/9:16/16:9), RGBA alpha compositing</w:t>
            </w:r>
          </w:p>
        </w:tc>
      </w:tr>
      <w:tr>
        <w:tc>
          <w:tcPr/>
          <w:p>
            <w:pPr>
              <w:pStyle w:val="Compact"/>
            </w:pPr>
            <w:r>
              <w:t xml:space="preserve">Output Manager</w:t>
            </w:r>
          </w:p>
        </w:tc>
        <w:tc>
          <w:tcPr/>
          <w:p>
            <w:pPr>
              <w:pStyle w:val="Compact"/>
            </w:pPr>
            <w:r>
              <w:t xml:space="preserve">JSON + boto3 S3</w:t>
            </w:r>
          </w:p>
        </w:tc>
        <w:tc>
          <w:tcPr/>
          <w:p>
            <w:pPr>
              <w:pStyle w:val="Compact"/>
            </w:pPr>
            <w:r>
              <w:t xml:space="preserve">Manifest: run_id, models, duration, errors</w:t>
            </w:r>
          </w:p>
        </w:tc>
      </w:tr>
      <w:tr>
        <w:tc>
          <w:tcPr/>
          <w:p>
            <w:pPr>
              <w:pStyle w:val="Compact"/>
            </w:pPr>
            <w:r>
              <w:t xml:space="preserve">Text Reasoning</w:t>
            </w:r>
          </w:p>
        </w:tc>
        <w:tc>
          <w:tcPr/>
          <w:p>
            <w:pPr>
              <w:pStyle w:val="Compact"/>
            </w:pPr>
            <w:r>
              <w:rPr>
                <w:rStyle w:val="VerbatimChar"/>
              </w:rPr>
              <w:t xml:space="preserve">anthropic[bedrock]</w:t>
            </w:r>
          </w:p>
        </w:tc>
        <w:tc>
          <w:tcPr/>
          <w:p>
            <w:pPr>
              <w:pStyle w:val="Compact"/>
            </w:pPr>
            <w:r>
              <w:t xml:space="preserve">Sonnet 4.6 prompt enhancement (non-critical fallback path)</w:t>
            </w:r>
          </w:p>
        </w:tc>
      </w:tr>
      <w:tr>
        <w:tc>
          <w:tcPr/>
          <w:p>
            <w:pPr>
              <w:pStyle w:val="Compact"/>
            </w:pPr>
            <w:r>
              <w:t xml:space="preserve">Brand Profiling</w:t>
            </w:r>
          </w:p>
        </w:tc>
        <w:tc>
          <w:tcPr/>
          <w:p>
            <w:pPr>
              <w:pStyle w:val="Compact"/>
            </w:pPr>
            <w:r>
              <w:rPr>
                <w:rStyle w:val="VerbatimChar"/>
              </w:rPr>
              <w:t xml:space="preserve">anthropic[bedrock]</w:t>
            </w:r>
          </w:p>
        </w:tc>
        <w:tc>
          <w:tcPr/>
          <w:p>
            <w:pPr>
              <w:pStyle w:val="Compact"/>
            </w:pPr>
            <w:r>
              <w:t xml:space="preserve">Sonnet 4.6 via tool_use; structured JSON guaranteed; once per brief</w:t>
            </w:r>
          </w:p>
        </w:tc>
      </w:tr>
      <w:tr>
        <w:tc>
          <w:tcPr/>
          <w:p>
            <w:pPr>
              <w:pStyle w:val="Compact"/>
            </w:pPr>
            <w:r>
              <w:t xml:space="preserve">IaC</w:t>
            </w:r>
          </w:p>
        </w:tc>
        <w:tc>
          <w:tcPr/>
          <w:p>
            <w:pPr>
              <w:pStyle w:val="Compact"/>
            </w:pPr>
            <w:r>
              <w:t xml:space="preserve">CloudFormation YAML</w:t>
            </w:r>
          </w:p>
        </w:tc>
        <w:tc>
          <w:tcPr/>
          <w:p>
            <w:pPr>
              <w:pStyle w:val="Compact"/>
            </w:pPr>
            <w:r>
              <w:t xml:space="preserve">S3×2, IAM role, Budget alarm</w:t>
            </w:r>
          </w:p>
        </w:tc>
      </w:tr>
      <w:tr>
        <w:tc>
          <w:tcPr/>
          <w:p>
            <w:pPr>
              <w:pStyle w:val="Compact"/>
            </w:pPr>
            <w:r>
              <w:t xml:space="preserve">CI/CD</w:t>
            </w:r>
          </w:p>
        </w:tc>
        <w:tc>
          <w:tcPr/>
          <w:p>
            <w:pPr>
              <w:pStyle w:val="Compact"/>
            </w:pPr>
            <w:r>
              <w:t xml:space="preserve">GitHub Actions</w:t>
            </w:r>
          </w:p>
        </w:tc>
        <w:tc>
          <w:tcPr/>
          <w:p>
            <w:pPr>
              <w:pStyle w:val="Compact"/>
            </w:pPr>
            <w:r>
              <w:t xml:space="preserve">Lint + test + pip-audit + CloudFormation deploy</w:t>
            </w:r>
          </w:p>
        </w:tc>
      </w:tr>
    </w:tbl>
    <w:p>
      <w:r>
        <w:pict>
          <v:rect style="width:0;height:1.5pt" o:hralign="center" o:hrstd="t" o:hr="t"/>
        </w:pict>
      </w:r>
    </w:p>
    <w:bookmarkEnd w:id="31"/>
    <w:bookmarkStart w:id="32" w:name="aws-well-architected-assessment"/>
    <w:p>
      <w:pPr>
        <w:pStyle w:val="Heading2"/>
      </w:pPr>
      <w:r>
        <w:t xml:space="preserve">8. AWS Well-Architected Assessment</w:t>
      </w:r>
    </w:p>
    <w:tbl>
      <w:tblPr>
        <w:tblStyle w:val="Table"/>
        <w:tblW w:type="pct" w:w="5000"/>
        <w:tblLayout w:type="fixed"/>
        <w:tblLook w:firstRow="1" w:lastRow="0" w:firstColumn="0" w:lastColumn="0" w:noHBand="0" w:noVBand="0" w:val="0020"/>
      </w:tblPr>
      <w:tblGrid>
        <w:gridCol w:w="2262"/>
        <w:gridCol w:w="1980"/>
        <w:gridCol w:w="3677"/>
      </w:tblGrid>
      <w:tr>
        <w:trPr>
          <w:tblHeader w:val="on"/>
        </w:trPr>
        <w:tc>
          <w:tcPr/>
          <w:p>
            <w:pPr>
              <w:pStyle w:val="Compact"/>
            </w:pPr>
            <w:r>
              <w:t xml:space="preserve">Pillar</w:t>
            </w:r>
          </w:p>
        </w:tc>
        <w:tc>
          <w:tcPr/>
          <w:p>
            <w:pPr>
              <w:pStyle w:val="Compact"/>
            </w:pPr>
            <w:r>
              <w:t xml:space="preserve">Score</w:t>
            </w:r>
          </w:p>
        </w:tc>
        <w:tc>
          <w:tcPr/>
          <w:p>
            <w:pPr>
              <w:pStyle w:val="Compact"/>
            </w:pPr>
            <w:r>
              <w:t xml:space="preserve">Key Evidence</w:t>
            </w:r>
          </w:p>
        </w:tc>
      </w:tr>
      <w:tr>
        <w:tc>
          <w:tcPr/>
          <w:p>
            <w:pPr>
              <w:pStyle w:val="Compact"/>
            </w:pPr>
            <w:r>
              <w:t xml:space="preserve">Operational Excellence</w:t>
            </w:r>
          </w:p>
        </w:tc>
        <w:tc>
          <w:tcPr/>
          <w:p>
            <w:pPr>
              <w:pStyle w:val="Compact"/>
            </w:pPr>
            <w:r>
              <w:t xml:space="preserve">9/10</w:t>
            </w:r>
          </w:p>
        </w:tc>
        <w:tc>
          <w:tcPr/>
          <w:p>
            <w:pPr>
              <w:pStyle w:val="Compact"/>
            </w:pPr>
            <w:r>
              <w:t xml:space="preserve">CI/CD on every push;</w:t>
            </w:r>
            <w:r>
              <w:t xml:space="preserve"> </w:t>
            </w:r>
            <w:r>
              <w:rPr>
                <w:rStyle w:val="VerbatimChar"/>
              </w:rPr>
              <w:t xml:space="preserve">--dry-run</w:t>
            </w:r>
            <w:r>
              <w:t xml:space="preserve"> </w:t>
            </w:r>
            <w:r>
              <w:t xml:space="preserve">mode; JSON manifests; 46 unit tests; auto-lint hooks</w:t>
            </w:r>
          </w:p>
        </w:tc>
      </w:tr>
      <w:tr>
        <w:tc>
          <w:tcPr/>
          <w:p>
            <w:pPr>
              <w:pStyle w:val="Compact"/>
            </w:pPr>
            <w:r>
              <w:t xml:space="preserve">Security</w:t>
            </w:r>
          </w:p>
        </w:tc>
        <w:tc>
          <w:tcPr/>
          <w:p>
            <w:pPr>
              <w:pStyle w:val="Compact"/>
            </w:pPr>
            <w:r>
              <w:t xml:space="preserve">8/10</w:t>
            </w:r>
          </w:p>
        </w:tc>
        <w:tc>
          <w:tcPr/>
          <w:p>
            <w:pPr>
              <w:pStyle w:val="Compact"/>
            </w:pPr>
            <w:r>
              <w:t xml:space="preserve">IAM least-privilege + explicit Deny; SSE-S3; Block Public Access; pip-audit in CI; SHA-pinned Actions</w:t>
            </w:r>
          </w:p>
        </w:tc>
      </w:tr>
      <w:tr>
        <w:tc>
          <w:tcPr/>
          <w:p>
            <w:pPr>
              <w:pStyle w:val="Compact"/>
            </w:pPr>
            <w:r>
              <w:t xml:space="preserve">Reliability</w:t>
            </w:r>
          </w:p>
        </w:tc>
        <w:tc>
          <w:tcPr/>
          <w:p>
            <w:pPr>
              <w:pStyle w:val="Compact"/>
            </w:pPr>
            <w:r>
              <w:t xml:space="preserve">7/10</w:t>
            </w:r>
          </w:p>
        </w:tc>
        <w:tc>
          <w:tcPr/>
          <w:p>
            <w:pPr>
              <w:pStyle w:val="Compact"/>
            </w:pPr>
            <w:r>
              <w:t xml:space="preserve">3-attempt retry with backoff; tier fallback; per-image error isolation; graceful fallbacks</w:t>
            </w:r>
          </w:p>
        </w:tc>
      </w:tr>
      <w:tr>
        <w:tc>
          <w:tcPr/>
          <w:p>
            <w:pPr>
              <w:pStyle w:val="Compact"/>
            </w:pPr>
            <w:r>
              <w:t xml:space="preserve">Performance Efficiency</w:t>
            </w:r>
          </w:p>
        </w:tc>
        <w:tc>
          <w:tcPr/>
          <w:p>
            <w:pPr>
              <w:pStyle w:val="Compact"/>
            </w:pPr>
            <w:r>
              <w:t xml:space="preserve">8/10</w:t>
            </w:r>
          </w:p>
        </w:tc>
        <w:tc>
          <w:tcPr/>
          <w:p>
            <w:pPr>
              <w:pStyle w:val="Compact"/>
            </w:pPr>
            <w:r>
              <w:t xml:space="preserve">SHA-256 disk cache (~1950x speedup); Nova Canvas premium; brand profile once per run</w:t>
            </w:r>
          </w:p>
        </w:tc>
      </w:tr>
      <w:tr>
        <w:tc>
          <w:tcPr/>
          <w:p>
            <w:pPr>
              <w:pStyle w:val="Compact"/>
            </w:pPr>
            <w:r>
              <w:t xml:space="preserve">Cost Optimization</w:t>
            </w:r>
          </w:p>
        </w:tc>
        <w:tc>
          <w:tcPr/>
          <w:p>
            <w:pPr>
              <w:pStyle w:val="Compact"/>
            </w:pPr>
            <w:r>
              <w:t xml:space="preserve">9/10</w:t>
            </w:r>
          </w:p>
        </w:tc>
        <w:tc>
          <w:tcPr/>
          <w:p>
            <w:pPr>
              <w:pStyle w:val="Compact"/>
            </w:pPr>
            <w:r>
              <w:t xml:space="preserve">3 model tiers; Budget alarm at $20/$25; disk caching; dry-run mode; PoC total ~$2.21</w:t>
            </w:r>
          </w:p>
        </w:tc>
      </w:tr>
      <w:tr>
        <w:tc>
          <w:tcPr/>
          <w:p>
            <w:pPr>
              <w:pStyle w:val="Compact"/>
            </w:pPr>
            <w:r>
              <w:t xml:space="preserve">Sustainability</w:t>
            </w:r>
          </w:p>
        </w:tc>
        <w:tc>
          <w:tcPr/>
          <w:p>
            <w:pPr>
              <w:pStyle w:val="Compact"/>
            </w:pPr>
            <w:r>
              <w:t xml:space="preserve">7/10</w:t>
            </w:r>
          </w:p>
        </w:tc>
        <w:tc>
          <w:tcPr/>
          <w:p>
            <w:pPr>
              <w:pStyle w:val="Compact"/>
            </w:pPr>
            <w:r>
              <w:t xml:space="preserve">Caching reduces API calls; dev tier for iteration; on-demand only</w:t>
            </w:r>
          </w:p>
        </w:tc>
      </w:tr>
    </w:tbl>
    <w:p>
      <w:pPr>
        <w:pStyle w:val="BodyText"/>
      </w:pPr>
      <w:r>
        <w:rPr>
          <w:b/>
          <w:bCs/>
        </w:rPr>
        <w:t xml:space="preserve">Overall: 8.0/10</w:t>
      </w:r>
      <w:r>
        <w:t xml:space="preserve"> </w:t>
      </w:r>
      <w:r>
        <w:t xml:space="preserve">— improved from initial proposal baseline of 6.8/10.</w:t>
      </w:r>
    </w:p>
    <w:p>
      <w:r>
        <w:pict>
          <v:rect style="width:0;height:1.5pt" o:hralign="center" o:hrstd="t" o:hr="t"/>
        </w:pict>
      </w:r>
    </w:p>
    <w:bookmarkEnd w:id="32"/>
    <w:bookmarkStart w:id="33" w:name="security-posture"/>
    <w:p>
      <w:pPr>
        <w:pStyle w:val="Heading2"/>
      </w:pPr>
      <w:r>
        <w:t xml:space="preserve">9. Security Posture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Control</w:t>
            </w:r>
          </w:p>
        </w:tc>
        <w:tc>
          <w:tcPr/>
          <w:p>
            <w:pPr>
              <w:pStyle w:val="Compact"/>
            </w:pPr>
            <w:r>
              <w:t xml:space="preserve">Implementation</w:t>
            </w:r>
          </w:p>
        </w:tc>
      </w:tr>
      <w:tr>
        <w:tc>
          <w:tcPr/>
          <w:p>
            <w:pPr>
              <w:pStyle w:val="Compact"/>
            </w:pPr>
            <w:r>
              <w:rPr>
                <w:b/>
                <w:bCs/>
              </w:rPr>
              <w:t xml:space="preserve">IAM Least Privilege</w:t>
            </w:r>
          </w:p>
        </w:tc>
        <w:tc>
          <w:tcPr/>
          <w:p>
            <w:pPr>
              <w:pStyle w:val="Compact"/>
            </w:pPr>
            <w:r>
              <w:rPr>
                <w:rStyle w:val="VerbatimChar"/>
              </w:rPr>
              <w:t xml:space="preserve">bedrock:InvokeModel</w:t>
            </w:r>
            <w:r>
              <w:t xml:space="preserve"> </w:t>
            </w:r>
            <w:r>
              <w:t xml:space="preserve">scoped to 3 specific model ARNs only; S3 read on input bucket, read/write on output bucket; explicit</w:t>
            </w:r>
            <w:r>
              <w:t xml:space="preserve"> </w:t>
            </w:r>
            <w:r>
              <w:rPr>
                <w:rStyle w:val="VerbatimChar"/>
              </w:rPr>
              <w:t xml:space="preserve">Deny</w:t>
            </w:r>
            <w:r>
              <w:t xml:space="preserve"> </w:t>
            </w:r>
            <w:r>
              <w:t xml:space="preserve">on</w:t>
            </w:r>
            <w:r>
              <w:t xml:space="preserve"> </w:t>
            </w:r>
            <w:r>
              <w:rPr>
                <w:rStyle w:val="VerbatimChar"/>
              </w:rPr>
              <w:t xml:space="preserve">s3:DeleteObject</w:t>
            </w:r>
            <w:r>
              <w:t xml:space="preserve">,</w:t>
            </w:r>
            <w:r>
              <w:t xml:space="preserve"> </w:t>
            </w:r>
            <w:r>
              <w:rPr>
                <w:rStyle w:val="VerbatimChar"/>
              </w:rPr>
              <w:t xml:space="preserve">s3:DeleteBucket</w:t>
            </w:r>
            <w:r>
              <w:t xml:space="preserve">,</w:t>
            </w:r>
            <w:r>
              <w:t xml:space="preserve"> </w:t>
            </w:r>
            <w:r>
              <w:rPr>
                <w:rStyle w:val="VerbatimChar"/>
              </w:rPr>
              <w:t xml:space="preserve">s3:PutBucketPolicy</w:t>
            </w:r>
            <w:r>
              <w:t xml:space="preserve">, and</w:t>
            </w:r>
            <w:r>
              <w:t xml:space="preserve"> </w:t>
            </w:r>
            <w:r>
              <w:rPr>
                <w:rStyle w:val="VerbatimChar"/>
              </w:rPr>
              <w:t xml:space="preserve">iam:*</w:t>
            </w:r>
            <w:r>
              <w:t xml:space="preserve"> </w:t>
            </w:r>
            <w:r>
              <w:t xml:space="preserve">— cannot be overridden by Allow statements</w:t>
            </w:r>
          </w:p>
        </w:tc>
      </w:tr>
      <w:tr>
        <w:tc>
          <w:tcPr/>
          <w:p>
            <w:pPr>
              <w:pStyle w:val="Compact"/>
            </w:pPr>
            <w:r>
              <w:rPr>
                <w:b/>
                <w:bCs/>
              </w:rPr>
              <w:t xml:space="preserve">No Hardcoded Credentials</w:t>
            </w:r>
          </w:p>
        </w:tc>
        <w:tc>
          <w:tcPr/>
          <w:p>
            <w:pPr>
              <w:pStyle w:val="Compact"/>
            </w:pPr>
            <w:r>
              <w:t xml:space="preserve">Profile-based auth via</w:t>
            </w:r>
            <w:r>
              <w:t xml:space="preserve"> </w:t>
            </w:r>
            <w:r>
              <w:rPr>
                <w:rStyle w:val="VerbatimChar"/>
              </w:rPr>
              <w:t xml:space="preserve">boto3.Session(profile_name='pai-exercise')</w:t>
            </w:r>
            <w:r>
              <w:t xml:space="preserve">;</w:t>
            </w:r>
            <w:r>
              <w:t xml:space="preserve"> </w:t>
            </w:r>
            <w:r>
              <w:rPr>
                <w:rStyle w:val="VerbatimChar"/>
              </w:rPr>
              <w:t xml:space="preserve">AnthropicBedrock(aws_region='us-east-1')</w:t>
            </w:r>
            <w:r>
              <w:t xml:space="preserve"> </w:t>
            </w:r>
            <w:r>
              <w:t xml:space="preserve">uses the same credential chain; no secrets in source code</w:t>
            </w:r>
          </w:p>
        </w:tc>
      </w:tr>
      <w:tr>
        <w:tc>
          <w:tcPr/>
          <w:p>
            <w:pPr>
              <w:pStyle w:val="Compact"/>
            </w:pPr>
            <w:r>
              <w:rPr>
                <w:b/>
                <w:bCs/>
              </w:rPr>
              <w:t xml:space="preserve">Encryption at Rest</w:t>
            </w:r>
          </w:p>
        </w:tc>
        <w:tc>
          <w:tcPr/>
          <w:p>
            <w:pPr>
              <w:pStyle w:val="Compact"/>
            </w:pPr>
            <w:r>
              <w:t xml:space="preserve">SSE-S3 (AES-256) on both input and output buckets via CloudFormation</w:t>
            </w:r>
            <w:r>
              <w:t xml:space="preserve"> </w:t>
            </w:r>
            <w:r>
              <w:rPr>
                <w:rStyle w:val="VerbatimChar"/>
              </w:rPr>
              <w:t xml:space="preserve">ServerSideEncryptionConfiguration</w:t>
            </w:r>
          </w:p>
        </w:tc>
      </w:tr>
      <w:tr>
        <w:tc>
          <w:tcPr/>
          <w:p>
            <w:pPr>
              <w:pStyle w:val="Compact"/>
            </w:pPr>
            <w:r>
              <w:rPr>
                <w:b/>
                <w:bCs/>
              </w:rPr>
              <w:t xml:space="preserve">S3 Block Public Access</w:t>
            </w:r>
          </w:p>
        </w:tc>
        <w:tc>
          <w:tcPr/>
          <w:p>
            <w:pPr>
              <w:pStyle w:val="Compact"/>
            </w:pPr>
            <w:r>
              <w:t xml:space="preserve">All four block settings enabled (</w:t>
            </w:r>
            <w:r>
              <w:rPr>
                <w:rStyle w:val="VerbatimChar"/>
              </w:rPr>
              <w:t xml:space="preserve">BlockPublicAcls</w:t>
            </w:r>
            <w:r>
              <w:t xml:space="preserve">,</w:t>
            </w:r>
            <w:r>
              <w:t xml:space="preserve"> </w:t>
            </w:r>
            <w:r>
              <w:rPr>
                <w:rStyle w:val="VerbatimChar"/>
              </w:rPr>
              <w:t xml:space="preserve">IgnorePublicAcls</w:t>
            </w:r>
            <w:r>
              <w:t xml:space="preserve">,</w:t>
            </w:r>
            <w:r>
              <w:t xml:space="preserve"> </w:t>
            </w:r>
            <w:r>
              <w:rPr>
                <w:rStyle w:val="VerbatimChar"/>
              </w:rPr>
              <w:t xml:space="preserve">BlockPublicPolicy</w:t>
            </w:r>
            <w:r>
              <w:t xml:space="preserve">,</w:t>
            </w:r>
            <w:r>
              <w:t xml:space="preserve"> </w:t>
            </w:r>
            <w:r>
              <w:rPr>
                <w:rStyle w:val="VerbatimChar"/>
              </w:rPr>
              <w:t xml:space="preserve">RestrictPublicBuckets</w:t>
            </w:r>
            <w:r>
              <w:t xml:space="preserve">) on both buckets</w:t>
            </w:r>
          </w:p>
        </w:tc>
      </w:tr>
      <w:tr>
        <w:tc>
          <w:tcPr/>
          <w:p>
            <w:pPr>
              <w:pStyle w:val="Compact"/>
            </w:pPr>
            <w:r>
              <w:rPr>
                <w:b/>
                <w:bCs/>
              </w:rPr>
              <w:t xml:space="preserve">Dependency Audit</w:t>
            </w:r>
          </w:p>
        </w:tc>
        <w:tc>
          <w:tcPr/>
          <w:p>
            <w:pPr>
              <w:pStyle w:val="Compact"/>
            </w:pPr>
            <w:r>
              <w:rPr>
                <w:rStyle w:val="VerbatimChar"/>
              </w:rPr>
              <w:t xml:space="preserve">pip-audit --severity high</w:t>
            </w:r>
            <w:r>
              <w:t xml:space="preserve"> </w:t>
            </w:r>
            <w:r>
              <w:t xml:space="preserve">runs in CI on every push; blocks merge on known vulnerabilities</w:t>
            </w:r>
          </w:p>
        </w:tc>
      </w:tr>
      <w:tr>
        <w:tc>
          <w:tcPr/>
          <w:p>
            <w:pPr>
              <w:pStyle w:val="Compact"/>
            </w:pPr>
            <w:r>
              <w:rPr>
                <w:b/>
                <w:bCs/>
              </w:rPr>
              <w:t xml:space="preserve">Supply Chain</w:t>
            </w:r>
          </w:p>
        </w:tc>
        <w:tc>
          <w:tcPr/>
          <w:p>
            <w:pPr>
              <w:pStyle w:val="Compact"/>
            </w:pPr>
            <w:r>
              <w:t xml:space="preserve">GitHub Actions pinned to full SHA hashes (e.g.,</w:t>
            </w:r>
            <w:r>
              <w:t xml:space="preserve"> </w:t>
            </w:r>
            <w:r>
              <w:rPr>
                <w:rStyle w:val="VerbatimChar"/>
              </w:rPr>
              <w:t xml:space="preserve">actions/checkout@11bd71901bbe5b1630ceea73d27597364c9af683</w:t>
            </w:r>
            <w:r>
              <w:t xml:space="preserve">) — prevents tag substitution attacks</w:t>
            </w:r>
          </w:p>
        </w:tc>
      </w:tr>
      <w:tr>
        <w:tc>
          <w:tcPr/>
          <w:p>
            <w:pPr>
              <w:pStyle w:val="Compact"/>
            </w:pPr>
            <w:r>
              <w:rPr>
                <w:b/>
                <w:bCs/>
              </w:rPr>
              <w:t xml:space="preserve">Bash Guard Hook</w:t>
            </w:r>
          </w:p>
        </w:tc>
        <w:tc>
          <w:tcPr/>
          <w:p>
            <w:pPr>
              <w:pStyle w:val="Compact"/>
            </w:pPr>
            <w:r>
              <w:rPr>
                <w:rStyle w:val="VerbatimChar"/>
              </w:rPr>
              <w:t xml:space="preserve">PreToolUse</w:t>
            </w:r>
            <w:r>
              <w:t xml:space="preserve"> </w:t>
            </w:r>
            <w:r>
              <w:t xml:space="preserve">hook in</w:t>
            </w:r>
            <w:r>
              <w:t xml:space="preserve"> </w:t>
            </w:r>
            <w:r>
              <w:rPr>
                <w:rStyle w:val="VerbatimChar"/>
              </w:rPr>
              <w:t xml:space="preserve">.claude/settings.json</w:t>
            </w:r>
            <w:r>
              <w:t xml:space="preserve"> </w:t>
            </w:r>
            <w:r>
              <w:t xml:space="preserve">requires explicit confirmation for destructive AWS commands (</w:t>
            </w:r>
            <w:r>
              <w:rPr>
                <w:rStyle w:val="VerbatimChar"/>
              </w:rPr>
              <w:t xml:space="preserve">aws.*delete</w:t>
            </w:r>
            <w:r>
              <w:t xml:space="preserve">,</w:t>
            </w:r>
            <w:r>
              <w:t xml:space="preserve"> </w:t>
            </w:r>
            <w:r>
              <w:rPr>
                <w:rStyle w:val="VerbatimChar"/>
              </w:rPr>
              <w:t xml:space="preserve">aws.*remove</w:t>
            </w:r>
            <w:r>
              <w:t xml:space="preserve">, etc.) and sensitive secret-read operations</w:t>
            </w:r>
          </w:p>
        </w:tc>
      </w:tr>
      <w:tr>
        <w:tc>
          <w:tcPr/>
          <w:p>
            <w:pPr>
              <w:pStyle w:val="Compact"/>
            </w:pPr>
            <w:r>
              <w:rPr>
                <w:b/>
                <w:bCs/>
              </w:rPr>
              <w:t xml:space="preserve">Public Repo Safety</w:t>
            </w:r>
          </w:p>
        </w:tc>
        <w:tc>
          <w:tcPr/>
          <w:p>
            <w:pPr>
              <w:pStyle w:val="Compact"/>
            </w:pPr>
            <w:r>
              <w:rPr>
                <w:rStyle w:val="VerbatimChar"/>
              </w:rPr>
              <w:t xml:space="preserve">.gitignore</w:t>
            </w:r>
            <w:r>
              <w:t xml:space="preserve"> </w:t>
            </w:r>
            <w:r>
              <w:t xml:space="preserve">excludes</w:t>
            </w:r>
            <w:r>
              <w:t xml:space="preserve"> </w:t>
            </w:r>
            <w:r>
              <w:rPr>
                <w:rStyle w:val="VerbatimChar"/>
              </w:rPr>
              <w:t xml:space="preserve">.env</w:t>
            </w:r>
            <w:r>
              <w:t xml:space="preserve">, credentials,</w:t>
            </w:r>
            <w:r>
              <w:t xml:space="preserve"> </w:t>
            </w:r>
            <w:r>
              <w:rPr>
                <w:rStyle w:val="VerbatimChar"/>
              </w:rPr>
              <w:t xml:space="preserve">settings.local.json</w:t>
            </w:r>
            <w:r>
              <w:t xml:space="preserve">; no AWS account IDs or real bucket names in committed files; demo data uses fictional brands only</w:t>
            </w:r>
          </w:p>
        </w:tc>
      </w:tr>
      <w:tr>
        <w:tc>
          <w:tcPr/>
          <w:p>
            <w:pPr>
              <w:pStyle w:val="Compact"/>
            </w:pPr>
            <w:r>
              <w:rPr>
                <w:b/>
                <w:bCs/>
              </w:rPr>
              <w:t xml:space="preserve">Network</w:t>
            </w:r>
          </w:p>
        </w:tc>
        <w:tc>
          <w:tcPr/>
          <w:p>
            <w:pPr>
              <w:pStyle w:val="Compact"/>
            </w:pPr>
            <w:r>
              <w:t xml:space="preserve">No VPC (PoC scope); Bedrock accessed via public HTTPS endpoints with TLS 1.2+; no inbound network exposure</w:t>
            </w:r>
          </w:p>
        </w:tc>
      </w:tr>
      <w:tr>
        <w:tc>
          <w:tcPr/>
          <w:p>
            <w:pPr>
              <w:pStyle w:val="Compact"/>
            </w:pPr>
            <w:r>
              <w:rPr>
                <w:b/>
                <w:bCs/>
              </w:rPr>
              <w:t xml:space="preserve">Input Sanitization</w:t>
            </w:r>
          </w:p>
        </w:tc>
        <w:tc>
          <w:tcPr/>
          <w:p>
            <w:pPr>
              <w:pStyle w:val="Compact"/>
            </w:pPr>
            <w:r>
              <w:rPr>
                <w:rStyle w:val="VerbatimChar"/>
              </w:rPr>
              <w:t xml:space="preserve">_sanitize()</w:t>
            </w:r>
            <w:r>
              <w:t xml:space="preserve"> </w:t>
            </w:r>
            <w:r>
              <w:t xml:space="preserve">applied to all SKU brief fields before prompt interpolation; max length enforcement prevents oversized prompt injection</w:t>
            </w:r>
          </w:p>
        </w:tc>
      </w:tr>
    </w:tbl>
    <w:p>
      <w:r>
        <w:pict>
          <v:rect style="width:0;height:1.5pt" o:hralign="center" o:hrstd="t" o:hr="t"/>
        </w:pict>
      </w:r>
    </w:p>
    <w:bookmarkEnd w:id="33"/>
    <w:bookmarkStart w:id="36" w:name="cost-model"/>
    <w:p>
      <w:pPr>
        <w:pStyle w:val="Heading2"/>
      </w:pPr>
      <w:r>
        <w:t xml:space="preserve">10. Cost Model</w:t>
      </w:r>
    </w:p>
    <w:bookmarkStart w:id="34" w:name="poc-cost-breakdown"/>
    <w:p>
      <w:pPr>
        <w:pStyle w:val="Heading3"/>
      </w:pPr>
      <w:r>
        <w:t xml:space="preserve">PoC Cost Breakdown</w:t>
      </w:r>
    </w:p>
    <w:tbl>
      <w:tblPr>
        <w:tblStyle w:val="Table"/>
        <w:tblW w:type="pct" w:w="5000"/>
        <w:tblLayout w:type="fixed"/>
        <w:tblLook w:firstRow="1" w:lastRow="0" w:firstColumn="0" w:lastColumn="0" w:noHBand="0" w:noVBand="0" w:val="0020"/>
      </w:tblPr>
      <w:tblGrid>
        <w:gridCol w:w="1320"/>
        <w:gridCol w:w="2420"/>
        <w:gridCol w:w="2640"/>
        <w:gridCol w:w="1540"/>
      </w:tblGrid>
      <w:tr>
        <w:trPr>
          <w:tblHeader w:val="on"/>
        </w:trPr>
        <w:tc>
          <w:tcPr/>
          <w:p>
            <w:pPr>
              <w:pStyle w:val="Compact"/>
            </w:pPr>
            <w:r>
              <w:t xml:space="preserve">Item</w:t>
            </w:r>
          </w:p>
        </w:tc>
        <w:tc>
          <w:tcPr/>
          <w:p>
            <w:pPr>
              <w:pStyle w:val="Compact"/>
            </w:pPr>
            <w:r>
              <w:t xml:space="preserve">Unit Cost</w:t>
            </w:r>
          </w:p>
        </w:tc>
        <w:tc>
          <w:tcPr/>
          <w:p>
            <w:pPr>
              <w:pStyle w:val="Compact"/>
            </w:pPr>
            <w:r>
              <w:t xml:space="preserve">PoC Volume</w:t>
            </w:r>
          </w:p>
        </w:tc>
        <w:tc>
          <w:tcPr/>
          <w:p>
            <w:pPr>
              <w:pStyle w:val="Compact"/>
            </w:pPr>
            <w:r>
              <w:t xml:space="preserve">Total</w:t>
            </w:r>
          </w:p>
        </w:tc>
      </w:tr>
      <w:tr>
        <w:tc>
          <w:tcPr/>
          <w:p>
            <w:pPr>
              <w:pStyle w:val="Compact"/>
            </w:pPr>
            <w:r>
              <w:t xml:space="preserve">Nova Canvas (premium quality)</w:t>
            </w:r>
          </w:p>
        </w:tc>
        <w:tc>
          <w:tcPr/>
          <w:p>
            <w:pPr>
              <w:pStyle w:val="Compact"/>
            </w:pPr>
            <w:r>
              <w:t xml:space="preserve">$0.08/image</w:t>
            </w:r>
          </w:p>
        </w:tc>
        <w:tc>
          <w:tcPr/>
          <w:p>
            <w:pPr>
              <w:pStyle w:val="Compact"/>
            </w:pPr>
            <w:r>
              <w:t xml:space="preserve">24 demo images</w:t>
            </w:r>
          </w:p>
        </w:tc>
        <w:tc>
          <w:tcPr/>
          <w:p>
            <w:pPr>
              <w:pStyle w:val="Compact"/>
            </w:pPr>
            <w:r>
              <w:t xml:space="preserve">$1.92</w:t>
            </w:r>
          </w:p>
        </w:tc>
      </w:tr>
      <w:tr>
        <w:tc>
          <w:tcPr/>
          <w:p>
            <w:pPr>
              <w:pStyle w:val="Compact"/>
            </w:pPr>
            <w:r>
              <w:t xml:space="preserve">Claude Sonnet 4.6 (brand profile, tool_use)</w:t>
            </w:r>
          </w:p>
        </w:tc>
        <w:tc>
          <w:tcPr/>
          <w:p>
            <w:pPr>
              <w:pStyle w:val="Compact"/>
            </w:pPr>
            <w:r>
              <w:t xml:space="preserve">~$0.006/call</w:t>
            </w:r>
          </w:p>
        </w:tc>
        <w:tc>
          <w:tcPr/>
          <w:p>
            <w:pPr>
              <w:pStyle w:val="Compact"/>
            </w:pPr>
            <w:r>
              <w:t xml:space="preserve">4 brief runs</w:t>
            </w:r>
          </w:p>
        </w:tc>
        <w:tc>
          <w:tcPr/>
          <w:p>
            <w:pPr>
              <w:pStyle w:val="Compact"/>
            </w:pPr>
            <w:r>
              <w:t xml:space="preserve">~$0.02</w:t>
            </w:r>
          </w:p>
        </w:tc>
      </w:tr>
      <w:tr>
        <w:tc>
          <w:tcPr/>
          <w:p>
            <w:pPr>
              <w:pStyle w:val="Compact"/>
            </w:pPr>
            <w:r>
              <w:t xml:space="preserve">Claude Sonnet 4.6 (prompt enhancement)</w:t>
            </w:r>
          </w:p>
        </w:tc>
        <w:tc>
          <w:tcPr/>
          <w:p>
            <w:pPr>
              <w:pStyle w:val="Compact"/>
            </w:pPr>
            <w:r>
              <w:t xml:space="preserve">~$0.006/call</w:t>
            </w:r>
          </w:p>
        </w:tc>
        <w:tc>
          <w:tcPr/>
          <w:p>
            <w:pPr>
              <w:pStyle w:val="Compact"/>
            </w:pPr>
            <w:r>
              <w:t xml:space="preserve">24 enhancement calls</w:t>
            </w:r>
          </w:p>
        </w:tc>
        <w:tc>
          <w:tcPr/>
          <w:p>
            <w:pPr>
              <w:pStyle w:val="Compact"/>
            </w:pPr>
            <w:r>
              <w:t xml:space="preserve">~$0.15</w:t>
            </w:r>
          </w:p>
        </w:tc>
      </w:tr>
      <w:tr>
        <w:tc>
          <w:tcPr/>
          <w:p>
            <w:pPr>
              <w:pStyle w:val="Compact"/>
            </w:pPr>
            <w:r>
              <w:t xml:space="preserve">Amazon Titan V2 (dev tier iteration)</w:t>
            </w:r>
          </w:p>
        </w:tc>
        <w:tc>
          <w:tcPr/>
          <w:p>
            <w:pPr>
              <w:pStyle w:val="Compact"/>
            </w:pPr>
            <w:r>
              <w:t xml:space="preserve">$0.01/image</w:t>
            </w:r>
          </w:p>
        </w:tc>
        <w:tc>
          <w:tcPr/>
          <w:p>
            <w:pPr>
              <w:pStyle w:val="Compact"/>
            </w:pPr>
            <w:r>
              <w:t xml:space="preserve">~12 dev images</w:t>
            </w:r>
          </w:p>
        </w:tc>
        <w:tc>
          <w:tcPr/>
          <w:p>
            <w:pPr>
              <w:pStyle w:val="Compact"/>
            </w:pPr>
            <w:r>
              <w:t xml:space="preserve">~$0.12</w:t>
            </w:r>
          </w:p>
        </w:tc>
      </w:tr>
      <w:tr>
        <w:tc>
          <w:tcPr/>
          <w:p>
            <w:pPr>
              <w:pStyle w:val="Compact"/>
            </w:pPr>
            <w:r>
              <w:t xml:space="preserve">S3 storage + requests</w:t>
            </w:r>
          </w:p>
        </w:tc>
        <w:tc>
          <w:tcPr/>
          <w:p>
            <w:pPr>
              <w:pStyle w:val="Compact"/>
            </w:pPr>
            <w:r>
              <w:t xml:space="preserve">negligible</w:t>
            </w:r>
          </w:p>
        </w:tc>
        <w:tc>
          <w:tcPr/>
          <w:p>
            <w:pPr>
              <w:pStyle w:val="Compact"/>
            </w:pPr>
            <w:r>
              <w:t xml:space="preserve">~500 operations</w:t>
            </w:r>
          </w:p>
        </w:tc>
        <w:tc>
          <w:tcPr/>
          <w:p>
            <w:pPr>
              <w:pStyle w:val="Compact"/>
            </w:pPr>
            <w:r>
              <w:t xml:space="preserve">&lt;$0.01</w:t>
            </w:r>
          </w:p>
        </w:tc>
      </w:tr>
      <w:tr>
        <w:tc>
          <w:tcPr/>
          <w:p>
            <w:pPr>
              <w:pStyle w:val="Compact"/>
            </w:pPr>
            <w:r>
              <w:rPr>
                <w:b/>
                <w:bCs/>
              </w:rPr>
              <w:t xml:space="preserve">Total PoC cost</w:t>
            </w:r>
          </w:p>
        </w:tc>
        <w:tc>
          <w:tcPr/>
          <w:p>
            <w:pPr>
              <w:pStyle w:val="Compact"/>
            </w:pPr>
          </w:p>
        </w:tc>
        <w:tc>
          <w:tcPr/>
          <w:p>
            <w:pPr>
              <w:pStyle w:val="Compact"/>
            </w:pPr>
          </w:p>
        </w:tc>
        <w:tc>
          <w:tcPr/>
          <w:p>
            <w:pPr>
              <w:pStyle w:val="Compact"/>
            </w:pPr>
            <w:r>
              <w:rPr>
                <w:b/>
                <w:bCs/>
              </w:rPr>
              <w:t xml:space="preserve">~$2.21</w:t>
            </w:r>
          </w:p>
        </w:tc>
      </w:tr>
    </w:tbl>
    <w:bookmarkEnd w:id="34"/>
    <w:bookmarkStart w:id="35" w:name="production-cost-projection"/>
    <w:p>
      <w:pPr>
        <w:pStyle w:val="Heading3"/>
      </w:pPr>
      <w:r>
        <w:t xml:space="preserve">Production Cost Projection</w:t>
      </w:r>
    </w:p>
    <w:p>
      <w:pPr>
        <w:pStyle w:val="FirstParagraph"/>
      </w:pPr>
      <w:r>
        <w:t xml:space="preserve">At 1,000 regional packaging variants per month (typical for a mid-size global CPG operation):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Monthly Cost</w:t>
            </w:r>
          </w:p>
        </w:tc>
      </w:tr>
      <w:tr>
        <w:tc>
          <w:tcPr/>
          <w:p>
            <w:pPr>
              <w:pStyle w:val="Compact"/>
            </w:pPr>
            <w:r>
              <w:t xml:space="preserve">Nova Canvas premium generation (1,000 images)</w:t>
            </w:r>
          </w:p>
        </w:tc>
        <w:tc>
          <w:tcPr/>
          <w:p>
            <w:pPr>
              <w:pStyle w:val="Compact"/>
            </w:pPr>
            <w:r>
              <w:t xml:space="preserve">$80</w:t>
            </w:r>
          </w:p>
        </w:tc>
      </w:tr>
      <w:tr>
        <w:tc>
          <w:tcPr/>
          <w:p>
            <w:pPr>
              <w:pStyle w:val="Compact"/>
            </w:pPr>
            <w:r>
              <w:t xml:space="preserve">Claude Sonnet 4.6 brand profiling (~100 briefs, tool_use)</w:t>
            </w:r>
          </w:p>
        </w:tc>
        <w:tc>
          <w:tcPr/>
          <w:p>
            <w:pPr>
              <w:pStyle w:val="Compact"/>
            </w:pPr>
            <w:r>
              <w:t xml:space="preserve">~$0.60</w:t>
            </w:r>
          </w:p>
        </w:tc>
      </w:tr>
      <w:tr>
        <w:tc>
          <w:tcPr/>
          <w:p>
            <w:pPr>
              <w:pStyle w:val="Compact"/>
            </w:pPr>
            <w:r>
              <w:t xml:space="preserve">Claude Sonnet 4.6 prompt enhancement (1,000 calls)</w:t>
            </w:r>
          </w:p>
        </w:tc>
        <w:tc>
          <w:tcPr/>
          <w:p>
            <w:pPr>
              <w:pStyle w:val="Compact"/>
            </w:pPr>
            <w:r>
              <w:t xml:space="preserve">~$6</w:t>
            </w:r>
          </w:p>
        </w:tc>
      </w:tr>
      <w:tr>
        <w:tc>
          <w:tcPr/>
          <w:p>
            <w:pPr>
              <w:pStyle w:val="Compact"/>
            </w:pPr>
            <w:r>
              <w:t xml:space="preserve">S3 storage + data transfer</w:t>
            </w:r>
          </w:p>
        </w:tc>
        <w:tc>
          <w:tcPr/>
          <w:p>
            <w:pPr>
              <w:pStyle w:val="Compact"/>
            </w:pPr>
            <w:r>
              <w:t xml:space="preserve">~$5</w:t>
            </w:r>
          </w:p>
        </w:tc>
      </w:tr>
      <w:tr>
        <w:tc>
          <w:tcPr/>
          <w:p>
            <w:pPr>
              <w:pStyle w:val="Compact"/>
            </w:pPr>
            <w:r>
              <w:t xml:space="preserve">CloudFormation + IAM</w:t>
            </w:r>
          </w:p>
        </w:tc>
        <w:tc>
          <w:tcPr/>
          <w:p>
            <w:pPr>
              <w:pStyle w:val="Compact"/>
            </w:pPr>
            <w:r>
              <w:t xml:space="preserve">$0</w:t>
            </w:r>
          </w:p>
        </w:tc>
      </w:tr>
      <w:tr>
        <w:tc>
          <w:tcPr/>
          <w:p>
            <w:pPr>
              <w:pStyle w:val="Compact"/>
            </w:pPr>
            <w:r>
              <w:rPr>
                <w:b/>
                <w:bCs/>
              </w:rPr>
              <w:t xml:space="preserve">Total projected monthly</w:t>
            </w:r>
          </w:p>
        </w:tc>
        <w:tc>
          <w:tcPr/>
          <w:p>
            <w:pPr>
              <w:pStyle w:val="Compact"/>
            </w:pPr>
            <w:r>
              <w:rPr>
                <w:b/>
                <w:bCs/>
              </w:rPr>
              <w:t xml:space="preserve">~$92</w:t>
            </w:r>
          </w:p>
        </w:tc>
      </w:tr>
    </w:tbl>
    <w:p>
      <w:pPr>
        <w:pStyle w:val="BodyText"/>
      </w:pPr>
      <w:r>
        <w:rPr>
          <w:b/>
          <w:bCs/>
        </w:rPr>
        <w:t xml:space="preserve">Comparison:</w:t>
      </w:r>
      <w:r>
        <w:t xml:space="preserve"> </w:t>
      </w:r>
      <w:r>
        <w:t xml:space="preserve">Traditional agency creative fees for packaging design range from $50-100/hour per variant, with typical turnaround of 2-5 business days. At 1,000 variants/month, agency costs range from $5,000-50,000/month depending on complexity.</w:t>
      </w:r>
    </w:p>
    <w:p>
      <w:pPr>
        <w:pStyle w:val="BodyText"/>
      </w:pPr>
      <w:r>
        <w:rPr>
          <w:b/>
          <w:bCs/>
        </w:rPr>
        <w:t xml:space="preserve">ROI:</w:t>
      </w:r>
      <w:r>
        <w:t xml:space="preserve"> </w:t>
      </w:r>
      <w:r>
        <w:t xml:space="preserve">98%+ cost reduction per variant. Pipeline execution time: under 30 seconds per variant (vs. days for agency turnaround).</w:t>
      </w:r>
    </w:p>
    <w:p>
      <w:r>
        <w:pict>
          <v:rect style="width:0;height:1.5pt" o:hralign="center" o:hrstd="t" o:hr="t"/>
        </w:pict>
      </w:r>
    </w:p>
    <w:bookmarkEnd w:id="35"/>
    <w:bookmarkEnd w:id="36"/>
    <w:bookmarkStart w:id="39" w:name="assumptions-limitations"/>
    <w:p>
      <w:pPr>
        <w:pStyle w:val="Heading2"/>
      </w:pPr>
      <w:r>
        <w:t xml:space="preserve">11. Assumptions &amp; Limitations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Limitation</w:t>
            </w:r>
          </w:p>
        </w:tc>
        <w:tc>
          <w:tcPr/>
          <w:p>
            <w:pPr>
              <w:pStyle w:val="Compact"/>
            </w:pPr>
            <w:r>
              <w:t xml:space="preserve">Production Mitigation</w:t>
            </w:r>
          </w:p>
        </w:tc>
      </w:tr>
      <w:tr>
        <w:tc>
          <w:tcPr/>
          <w:p>
            <w:pPr>
              <w:pStyle w:val="Compact"/>
            </w:pPr>
            <w:r>
              <w:t xml:space="preserve">Single AWS region (us-east-1)</w:t>
            </w:r>
          </w:p>
        </w:tc>
        <w:tc>
          <w:tcPr/>
          <w:p>
            <w:pPr>
              <w:pStyle w:val="Compact"/>
            </w:pPr>
            <w:r>
              <w:t xml:space="preserve">Multi-region deployment when Nova Canvas expands</w:t>
            </w:r>
          </w:p>
        </w:tc>
      </w:tr>
      <w:tr>
        <w:tc>
          <w:tcPr/>
          <w:p>
            <w:pPr>
              <w:pStyle w:val="Compact"/>
            </w:pPr>
            <w:r>
              <w:t xml:space="preserve">Titan V2 generates 1024×1024 for all ratios</w:t>
            </w:r>
          </w:p>
        </w:tc>
        <w:tc>
          <w:tcPr/>
          <w:p>
            <w:pPr>
              <w:pStyle w:val="Compact"/>
            </w:pPr>
            <w:r>
              <w:t xml:space="preserve">Nova Canvas supports native resolutions; dev tier is for iteration only</w:t>
            </w:r>
          </w:p>
        </w:tc>
      </w:tr>
      <w:tr>
        <w:tc>
          <w:tcPr/>
          <w:p>
            <w:pPr>
              <w:pStyle w:val="Compact"/>
            </w:pPr>
            <w:r>
              <w:t xml:space="preserve">System fonts, not brand typography</w:t>
            </w:r>
          </w:p>
        </w:tc>
        <w:tc>
          <w:tcPr/>
          <w:p>
            <w:pPr>
              <w:pStyle w:val="Compact"/>
            </w:pPr>
            <w:r>
              <w:t xml:space="preserve">Font library integration with proper licensing</w:t>
            </w:r>
          </w:p>
        </w:tc>
      </w:tr>
      <w:tr>
        <w:tc>
          <w:tcPr/>
          <w:p>
            <w:pPr>
              <w:pStyle w:val="Compact"/>
            </w:pPr>
            <w:r>
              <w:t xml:space="preserve">Placeholder regulatory text</w:t>
            </w:r>
          </w:p>
        </w:tc>
        <w:tc>
          <w:tcPr/>
          <w:p>
            <w:pPr>
              <w:pStyle w:val="Compact"/>
            </w:pPr>
            <w:r>
              <w:t xml:space="preserve">Jurisdictional compliance database integration</w:t>
            </w:r>
          </w:p>
        </w:tc>
      </w:tr>
      <w:tr>
        <w:tc>
          <w:tcPr/>
          <w:p>
            <w:pPr>
              <w:pStyle w:val="Compact"/>
            </w:pPr>
            <w:r>
              <w:t xml:space="preserve">Sequential generation (~30s for 6 images)</w:t>
            </w:r>
          </w:p>
        </w:tc>
        <w:tc>
          <w:tcPr/>
          <w:p>
            <w:pPr>
              <w:pStyle w:val="Compact"/>
            </w:pPr>
            <w:r>
              <w:t xml:space="preserve">Async generation with Lambda fan-out</w:t>
            </w:r>
          </w:p>
        </w:tc>
      </w:tr>
      <w:tr>
        <w:tc>
          <w:tcPr/>
          <w:p>
            <w:pPr>
              <w:pStyle w:val="Compact"/>
            </w:pPr>
            <w:r>
              <w:t xml:space="preserve">No Bedrock invocation logging</w:t>
            </w:r>
          </w:p>
        </w:tc>
        <w:tc>
          <w:tcPr/>
          <w:p>
            <w:pPr>
              <w:pStyle w:val="Compact"/>
            </w:pPr>
            <w:r>
              <w:t xml:space="preserve">CloudTrail data events for audit trail</w:t>
            </w:r>
          </w:p>
        </w:tc>
      </w:tr>
      <w:tr>
        <w:tc>
          <w:tcPr/>
          <w:p>
            <w:pPr>
              <w:pStyle w:val="Compact"/>
            </w:pPr>
            <w:r>
              <w:t xml:space="preserve">Prompt injection:</w:t>
            </w:r>
            <w:r>
              <w:t xml:space="preserve"> </w:t>
            </w:r>
            <w:r>
              <w:rPr>
                <w:rStyle w:val="VerbatimChar"/>
              </w:rPr>
              <w:t xml:space="preserve">_sanitize()</w:t>
            </w:r>
            <w:r>
              <w:t xml:space="preserve"> </w:t>
            </w:r>
            <w:r>
              <w:t xml:space="preserve">provides basic protection</w:t>
            </w:r>
          </w:p>
        </w:tc>
        <w:tc>
          <w:tcPr/>
          <w:p>
            <w:pPr>
              <w:pStyle w:val="Compact"/>
            </w:pPr>
            <w:r>
              <w:t xml:space="preserve">Input validation layer + content moderation on outputs</w:t>
            </w:r>
          </w:p>
        </w:tc>
      </w:tr>
    </w:tbl>
    <w:p>
      <w:pPr>
        <w:pStyle w:val="BodyText"/>
      </w:pPr>
      <w:r>
        <w:t xml:space="preserve">Full design decisions and trade-offs:</w:t>
      </w:r>
      <w:r>
        <w:t xml:space="preserve"> </w:t>
      </w:r>
      <w:hyperlink r:id="rId37">
        <w:r>
          <w:rPr>
            <w:rStyle w:val="VerbatimChar"/>
          </w:rPr>
          <w:t xml:space="preserve">docs/design-decisions.md</w:t>
        </w:r>
      </w:hyperlink>
      <w:r>
        <w:t xml:space="preserve">. Production roadmap:</w:t>
      </w:r>
      <w:r>
        <w:t xml:space="preserve"> </w:t>
      </w:r>
      <w:hyperlink r:id="rId38">
        <w:r>
          <w:rPr>
            <w:rStyle w:val="VerbatimChar"/>
          </w:rPr>
          <w:t xml:space="preserve">BACKLOG.md</w:t>
        </w:r>
      </w:hyperlink>
      <w:r>
        <w:t xml:space="preserve">.</w:t>
      </w:r>
    </w:p>
    <w:p>
      <w:r>
        <w:pict>
          <v:rect style="width:0;height:1.5pt" o:hralign="center" o:hrstd="t" o:hr="t"/>
        </w:pict>
      </w:r>
    </w:p>
    <w:p>
      <w:pPr>
        <w:pStyle w:val="FirstParagraph"/>
      </w:pPr>
      <w:r>
        <w:rPr>
          <w:i/>
          <w:iCs/>
        </w:rPr>
        <w:t xml:space="preserve">Document prepared by Paul Prae using Claude Code (Claude Sonnet 4.6).</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6" Target="media/rId26.png" /><Relationship Type="http://schemas.openxmlformats.org/officeDocument/2006/relationships/hyperlink" Id="rId38" Target="../BACKLOG.md" TargetMode="External" /><Relationship Type="http://schemas.openxmlformats.org/officeDocument/2006/relationships/hyperlink" Id="rId37" Target="design-decisions.md" TargetMode="External" /></Relationships>
</file>

<file path=word/_rels/footnotes.xml.rels><?xml version="1.0" encoding="UTF-8"?><Relationships xmlns="http://schemas.openxmlformats.org/package/2006/relationships"><Relationship Type="http://schemas.openxmlformats.org/officeDocument/2006/relationships/hyperlink" Id="rId38" Target="../BACKLOG.md" TargetMode="External" /><Relationship Type="http://schemas.openxmlformats.org/officeDocument/2006/relationships/hyperlink" Id="rId37" Target="design-decision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2026-03-20T16:09:52Z</dcterms:created>
  <dcterms:modified xsi:type="dcterms:W3CDTF">2026-03-20T16:09:52Z</dcterms:modified>
</cp:coreProperties>
</file>

<file path=docProps/custom.xml><?xml version="1.0" encoding="utf-8"?>
<Properties xmlns="http://schemas.openxmlformats.org/officeDocument/2006/custom-properties" xmlns:vt="http://schemas.openxmlformats.org/officeDocument/2006/docPropsVTypes"/>
</file>