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aul-prae"/>
    <w:p>
      <w:pPr>
        <w:pStyle w:val="Heading1"/>
      </w:pPr>
      <w:r>
        <w:t xml:space="preserve">Paul Prae</w:t>
      </w:r>
    </w:p>
    <w:p>
      <w:pPr>
        <w:pStyle w:val="FirstParagraph"/>
      </w:pPr>
      <w:r>
        <w:rPr>
          <w:b/>
          <w:bCs/>
        </w:rPr>
        <w:t xml:space="preserve">Principal AI Engineer &amp; Architect</w:t>
      </w:r>
      <w:r>
        <w:t xml:space="preserve"> </w:t>
      </w:r>
      <w:r>
        <w:t xml:space="preserve">| Buford, GA | hireme@paulprae.com | https://www.linkedin.com/in/paulprae | https://github.com/praeducer | https://paulprae.com</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AI engineering leader with 13+ years delivering enterprise AI solutions for healthcare and life sciences. At Amazon Web Services, managed a portfolio of 10+ enterprise accounts and collaborated with Global Systems Integrator (GSI) co-sell partners Accenture and Deloitte on joint AI and ML solutions. As a consulting leader at Booz Allen Hamilton, Slalom Consulting, and Hyperbloom, delivered healthcare AI solutions in partnership with technology vendors including AWS and Microsoft Azure. Founded and grew Hyperbloom, an AI consulting practice, from a $40K initial investment to $1.4M ARR. Healthcare and life sciences experience spans payor data platforms at Arine, federal AI governance at Booz Allen, clinical-trial infrastructure at Hyperbloom, and neuroimaging and genomics GPU compute at TReNDS Center.</w:t>
      </w:r>
    </w:p>
    <w:p>
      <w:r>
        <w:pict>
          <v:rect style="width:0;height:1.5pt" o:hralign="center" o:hrstd="t" o:hr="t"/>
        </w:pict>
      </w:r>
    </w:p>
    <w:bookmarkEnd w:id="9"/>
    <w:bookmarkStart w:id="18" w:name="professional-experience"/>
    <w:p>
      <w:pPr>
        <w:pStyle w:val="Heading2"/>
      </w:pPr>
      <w:r>
        <w:t xml:space="preserve">Professional Experience</w:t>
      </w:r>
    </w:p>
    <w:bookmarkStart w:id="10" w:name="staff-ai-dataops-engineer"/>
    <w:p>
      <w:pPr>
        <w:pStyle w:val="Heading3"/>
      </w:pPr>
      <w:r>
        <w:t xml:space="preserve">Staff AI DataOps Engineer</w:t>
      </w:r>
    </w:p>
    <w:p>
      <w:pPr>
        <w:pStyle w:val="FirstParagraph"/>
      </w:pPr>
      <w:r>
        <w:rPr>
          <w:b/>
          <w:bCs/>
        </w:rPr>
        <w:t xml:space="preserve">Arine</w:t>
      </w:r>
      <w:r>
        <w:t xml:space="preserve"> </w:t>
      </w:r>
      <w:r>
        <w:t xml:space="preserve">| Remote | Sep 2025 – Mar 2026</w:t>
      </w:r>
    </w:p>
    <w:p>
      <w:pPr>
        <w:pStyle w:val="Compact"/>
        <w:numPr>
          <w:ilvl w:val="0"/>
          <w:numId w:val="1001"/>
        </w:numPr>
      </w:pPr>
      <w:r>
        <w:t xml:space="preserve">Managed the enterprise data platform on Snowflake and Amazon Web Services, processing petabytes of healthcare data from hundreds of heterogeneous sources in support of Arine’s medication management and clinical decision support products (Arine serves 45+ health plans and over 30 million members).</w:t>
      </w:r>
    </w:p>
    <w:p>
      <w:pPr>
        <w:pStyle w:val="Compact"/>
        <w:numPr>
          <w:ilvl w:val="0"/>
          <w:numId w:val="1001"/>
        </w:numPr>
      </w:pPr>
      <w:r>
        <w:t xml:space="preserve">Built HIPAA-compliant AI coding assistants including a Data Engineering Agent that autonomously generated, deployed, and tested Extract-Transform-Load (ETL) pipelines.</w:t>
      </w:r>
    </w:p>
    <w:p>
      <w:pPr>
        <w:pStyle w:val="Compact"/>
        <w:numPr>
          <w:ilvl w:val="0"/>
          <w:numId w:val="1001"/>
        </w:numPr>
      </w:pPr>
      <w:r>
        <w:t xml:space="preserve">Led AI enablement workshops training up to 100 engineers on AI-first development practices and AI governance standards.</w:t>
      </w:r>
    </w:p>
    <w:p>
      <w:pPr>
        <w:pStyle w:val="Compact"/>
        <w:numPr>
          <w:ilvl w:val="0"/>
          <w:numId w:val="1001"/>
        </w:numPr>
      </w:pPr>
      <w:r>
        <w:t xml:space="preserve">Built observability pipeline for Arine’s autonomous pharmacist AI agent, ingesting production behavior data from DynamoDB into Snowflake and visualizing performance metrics in QuickSight dashboards.</w:t>
      </w:r>
    </w:p>
    <w:bookmarkEnd w:id="10"/>
    <w:bookmarkStart w:id="11" w:name="chief-ai-architect-senior-manager"/>
    <w:p>
      <w:pPr>
        <w:pStyle w:val="Heading3"/>
      </w:pPr>
      <w:r>
        <w:t xml:space="preserve">Chief AI Architect, Senior Manager</w:t>
      </w:r>
    </w:p>
    <w:p>
      <w:pPr>
        <w:pStyle w:val="FirstParagraph"/>
      </w:pPr>
      <w:r>
        <w:rPr>
          <w:b/>
          <w:bCs/>
        </w:rPr>
        <w:t xml:space="preserve">Booz Allen Hamilton</w:t>
      </w:r>
      <w:r>
        <w:t xml:space="preserve"> </w:t>
      </w:r>
      <w:r>
        <w:t xml:space="preserve">| Atlanta, GA | Jul 2024 – Mar 2025</w:t>
      </w:r>
    </w:p>
    <w:p>
      <w:pPr>
        <w:pStyle w:val="Compact"/>
        <w:numPr>
          <w:ilvl w:val="0"/>
          <w:numId w:val="1002"/>
        </w:numPr>
      </w:pPr>
      <w:r>
        <w:t xml:space="preserve">Led AI and analytics solution development within the healthcare and life sciences practice of a Fortune 500 consulting firm, designing AI products that harnessed clinical, behavioral, and genomic data for population health and predictive medicine.</w:t>
      </w:r>
    </w:p>
    <w:p>
      <w:pPr>
        <w:pStyle w:val="Compact"/>
        <w:numPr>
          <w:ilvl w:val="0"/>
          <w:numId w:val="1002"/>
        </w:numPr>
      </w:pPr>
      <w:r>
        <w:t xml:space="preserve">Deployed AI solutions across FedRAMP and HIPAA-compliant environments, addressing algorithmic bias and data-privacy risks in regulated healthcare settings.</w:t>
      </w:r>
    </w:p>
    <w:p>
      <w:pPr>
        <w:pStyle w:val="Compact"/>
        <w:numPr>
          <w:ilvl w:val="0"/>
          <w:numId w:val="1002"/>
        </w:numPr>
      </w:pPr>
      <w:r>
        <w:t xml:space="preserve">Contributed to AI governance policy development for the FDA Center for Devices and Radiological Health (CDRH), addressing federal regulatory requirements for AI in healthcare.</w:t>
      </w:r>
    </w:p>
    <w:p>
      <w:pPr>
        <w:pStyle w:val="Compact"/>
        <w:numPr>
          <w:ilvl w:val="0"/>
          <w:numId w:val="1002"/>
        </w:numPr>
      </w:pPr>
      <w:r>
        <w:t xml:space="preserve">Delivered healthcare AI solutions in partnership with AWS across Booz Allen’s matrixed federal-contracting engagements.</w:t>
      </w:r>
    </w:p>
    <w:bookmarkEnd w:id="11"/>
    <w:bookmarkStart w:id="12" w:name="chief-ai-officer-founder"/>
    <w:p>
      <w:pPr>
        <w:pStyle w:val="Heading3"/>
      </w:pPr>
      <w:r>
        <w:t xml:space="preserve">Chief AI Officer, Founder</w:t>
      </w:r>
    </w:p>
    <w:p>
      <w:pPr>
        <w:pStyle w:val="FirstParagraph"/>
      </w:pPr>
      <w:r>
        <w:rPr>
          <w:b/>
          <w:bCs/>
        </w:rPr>
        <w:t xml:space="preserve">Hyperbloom</w:t>
      </w:r>
      <w:r>
        <w:t xml:space="preserve"> </w:t>
      </w:r>
      <w:r>
        <w:t xml:space="preserve">| United States | Jan 2020 – Aug 2025</w:t>
      </w:r>
    </w:p>
    <w:p>
      <w:pPr>
        <w:pStyle w:val="Compact"/>
        <w:numPr>
          <w:ilvl w:val="0"/>
          <w:numId w:val="1003"/>
        </w:numPr>
      </w:pPr>
      <w:r>
        <w:t xml:space="preserve">Grew healthcare AI consulting practice from $40K investment to $1.4M ARR, delivering cloud-based AI and data solutions across healthcare, life science, and financial services.</w:t>
      </w:r>
    </w:p>
    <w:p>
      <w:pPr>
        <w:pStyle w:val="Compact"/>
        <w:numPr>
          <w:ilvl w:val="0"/>
          <w:numId w:val="1003"/>
        </w:numPr>
      </w:pPr>
      <w:r>
        <w:t xml:space="preserve">Led full sales cycle with teams of sales coordinators, account managers, and solutions architects, building go-to-market strategies and partner co-sell motions with AWS and research organizations.</w:t>
      </w:r>
    </w:p>
    <w:p>
      <w:pPr>
        <w:pStyle w:val="Compact"/>
        <w:numPr>
          <w:ilvl w:val="0"/>
          <w:numId w:val="1003"/>
        </w:numPr>
      </w:pPr>
      <w:r>
        <w:t xml:space="preserve">Architected disaster recovery for Florence Healthcare’s clinical-trial management platform (Florence operates 10,000+ research sites across 45 countries).</w:t>
      </w:r>
    </w:p>
    <w:p>
      <w:pPr>
        <w:pStyle w:val="Compact"/>
        <w:numPr>
          <w:ilvl w:val="0"/>
          <w:numId w:val="1003"/>
        </w:numPr>
      </w:pPr>
      <w:r>
        <w:t xml:space="preserve">Designed a blockchain-based life-science data exchange architecture meeting HIPAA, GDPR, HL7, and CDISC (Clinical Data Interchange Standards Consortium) interoperability standards.</w:t>
      </w:r>
    </w:p>
    <w:p>
      <w:pPr>
        <w:pStyle w:val="Compact"/>
        <w:numPr>
          <w:ilvl w:val="0"/>
          <w:numId w:val="1003"/>
        </w:numPr>
      </w:pPr>
      <w:r>
        <w:t xml:space="preserve">Built a genomics data lake on AWS for life-science research organizations, supporting downstream analytics and machine learning workloads.</w:t>
      </w:r>
    </w:p>
    <w:bookmarkEnd w:id="12"/>
    <w:bookmarkStart w:id="13" w:name="neuroinformatics-data-platform-architect"/>
    <w:p>
      <w:pPr>
        <w:pStyle w:val="Heading3"/>
      </w:pPr>
      <w:r>
        <w:t xml:space="preserve">Neuroinformatics Data Platform Architect</w:t>
      </w:r>
    </w:p>
    <w:p>
      <w:pPr>
        <w:pStyle w:val="FirstParagraph"/>
      </w:pPr>
      <w:r>
        <w:rPr>
          <w:b/>
          <w:bCs/>
        </w:rPr>
        <w:t xml:space="preserve">TReNDS Center</w:t>
      </w:r>
      <w:r>
        <w:t xml:space="preserve"> </w:t>
      </w:r>
      <w:r>
        <w:t xml:space="preserve">| Atlanta, GA | Jan 2022 – Sep 2023</w:t>
      </w:r>
    </w:p>
    <w:p>
      <w:pPr>
        <w:pStyle w:val="Compact"/>
        <w:numPr>
          <w:ilvl w:val="0"/>
          <w:numId w:val="1004"/>
        </w:numPr>
      </w:pPr>
      <w:r>
        <w:t xml:space="preserve">Led architecture for COINSTAC, an open-source neuroinformatics platform enabling federated neuroimaging and genomics research with differential privacy for Protected Health Information (PHI) protection.</w:t>
      </w:r>
    </w:p>
    <w:p>
      <w:pPr>
        <w:pStyle w:val="Compact"/>
        <w:numPr>
          <w:ilvl w:val="0"/>
          <w:numId w:val="1004"/>
        </w:numPr>
      </w:pPr>
      <w:r>
        <w:t xml:space="preserve">Built GPU compute infrastructure for deep learning workloads and managed AWS cloud architecture.</w:t>
      </w:r>
    </w:p>
    <w:p>
      <w:pPr>
        <w:pStyle w:val="Compact"/>
        <w:numPr>
          <w:ilvl w:val="0"/>
          <w:numId w:val="1004"/>
        </w:numPr>
      </w:pPr>
      <w:r>
        <w:t xml:space="preserve">Drove commercialization through Small Business Innovation Research (SBIR) grant writing, open-source contributor recruitment, and industry partnerships.</w:t>
      </w:r>
    </w:p>
    <w:bookmarkEnd w:id="13"/>
    <w:bookmarkStart w:id="14" w:name="enterprise-ai-and-ml-solutions-architect"/>
    <w:p>
      <w:pPr>
        <w:pStyle w:val="Heading3"/>
      </w:pPr>
      <w:r>
        <w:t xml:space="preserve">Enterprise AI and ML Solutions Architect</w:t>
      </w:r>
    </w:p>
    <w:p>
      <w:pPr>
        <w:pStyle w:val="FirstParagraph"/>
      </w:pPr>
      <w:r>
        <w:rPr>
          <w:b/>
          <w:bCs/>
        </w:rPr>
        <w:t xml:space="preserve">Amazon Web Services</w:t>
      </w:r>
      <w:r>
        <w:t xml:space="preserve"> </w:t>
      </w:r>
      <w:r>
        <w:t xml:space="preserve">| Atlanta, GA | Aug 2018 – May 2021</w:t>
      </w:r>
    </w:p>
    <w:p>
      <w:pPr>
        <w:pStyle w:val="Compact"/>
        <w:numPr>
          <w:ilvl w:val="0"/>
          <w:numId w:val="1005"/>
        </w:numPr>
      </w:pPr>
      <w:r>
        <w:t xml:space="preserve">Managed a portfolio of 10+ enterprise accounts including Cox Enterprises, Equifax, Jostens, and NCR, serving as a national subject matter expert in artificial intelligence and machine learning.</w:t>
      </w:r>
    </w:p>
    <w:p>
      <w:pPr>
        <w:pStyle w:val="Compact"/>
        <w:numPr>
          <w:ilvl w:val="0"/>
          <w:numId w:val="1005"/>
        </w:numPr>
      </w:pPr>
      <w:r>
        <w:t xml:space="preserve">Collaborated with Accenture and Deloitte as Global Systems Integrator co-sell partners on joint AI and machine learning solutions for shared enterprise customers.</w:t>
      </w:r>
    </w:p>
    <w:p>
      <w:pPr>
        <w:pStyle w:val="Compact"/>
        <w:numPr>
          <w:ilvl w:val="0"/>
          <w:numId w:val="1005"/>
        </w:numPr>
      </w:pPr>
      <w:r>
        <w:t xml:space="preserve">Built C-suite executive relationships that shaped technical and business strategies across go-to-market planning, cost management, and technical recruiting.</w:t>
      </w:r>
    </w:p>
    <w:p>
      <w:pPr>
        <w:pStyle w:val="Compact"/>
        <w:numPr>
          <w:ilvl w:val="0"/>
          <w:numId w:val="1005"/>
        </w:numPr>
      </w:pPr>
      <w:r>
        <w:t xml:space="preserve">Authored technical white papers, reference architectures, and proof-of-concept solutions that advanced Amazon Web Services adoption and enterprise deals.</w:t>
      </w:r>
    </w:p>
    <w:bookmarkEnd w:id="14"/>
    <w:bookmarkStart w:id="15" w:name="senior-ai-engineer"/>
    <w:p>
      <w:pPr>
        <w:pStyle w:val="Heading3"/>
      </w:pPr>
      <w:r>
        <w:t xml:space="preserve">Senior AI Engineer</w:t>
      </w:r>
    </w:p>
    <w:p>
      <w:pPr>
        <w:pStyle w:val="FirstParagraph"/>
      </w:pPr>
      <w:r>
        <w:rPr>
          <w:b/>
          <w:bCs/>
        </w:rPr>
        <w:t xml:space="preserve">NeuroLex Labs</w:t>
      </w:r>
      <w:r>
        <w:t xml:space="preserve"> </w:t>
      </w:r>
      <w:r>
        <w:t xml:space="preserve">| Atlanta, GA | Jan 2018 – May 2020</w:t>
      </w:r>
    </w:p>
    <w:p>
      <w:pPr>
        <w:pStyle w:val="Compact"/>
        <w:numPr>
          <w:ilvl w:val="0"/>
          <w:numId w:val="1006"/>
        </w:numPr>
      </w:pPr>
      <w:r>
        <w:t xml:space="preserve">Architected automated ML pipelines for healthcare voice computing — collecting, cleaning, training, and deploying models processing text and audio data for neurodegenerative disease prediction.</w:t>
      </w:r>
    </w:p>
    <w:p>
      <w:pPr>
        <w:pStyle w:val="Compact"/>
        <w:numPr>
          <w:ilvl w:val="0"/>
          <w:numId w:val="1006"/>
        </w:numPr>
      </w:pPr>
      <w:r>
        <w:t xml:space="preserve">Drove test-driven development practices across the engineering team, introducing regression, functional, load, and integration testing.</w:t>
      </w:r>
    </w:p>
    <w:p>
      <w:pPr>
        <w:pStyle w:val="Compact"/>
        <w:numPr>
          <w:ilvl w:val="0"/>
          <w:numId w:val="1006"/>
        </w:numPr>
      </w:pPr>
      <w:r>
        <w:t xml:space="preserve">Mentored fellows in the Tribe research program focused on voice biomarkers for neurodegenerative disease prediction and prevention.</w:t>
      </w:r>
    </w:p>
    <w:bookmarkEnd w:id="15"/>
    <w:bookmarkStart w:id="16" w:name="advanced-analytics-consultant"/>
    <w:p>
      <w:pPr>
        <w:pStyle w:val="Heading3"/>
      </w:pPr>
      <w:r>
        <w:t xml:space="preserve">Advanced Analytics Consultant</w:t>
      </w:r>
    </w:p>
    <w:p>
      <w:pPr>
        <w:pStyle w:val="FirstParagraph"/>
      </w:pPr>
      <w:r>
        <w:rPr>
          <w:b/>
          <w:bCs/>
        </w:rPr>
        <w:t xml:space="preserve">Slalom Consulting</w:t>
      </w:r>
      <w:r>
        <w:t xml:space="preserve"> </w:t>
      </w:r>
      <w:r>
        <w:t xml:space="preserve">| Atlanta, GA | Jul 2015 – Jan 2018</w:t>
      </w:r>
    </w:p>
    <w:p>
      <w:pPr>
        <w:pStyle w:val="Compact"/>
        <w:numPr>
          <w:ilvl w:val="0"/>
          <w:numId w:val="1007"/>
        </w:numPr>
      </w:pPr>
      <w:r>
        <w:t xml:space="preserve">Delivered a behavioral healthcare application for Georgia’s Department of Behavioral Health and Developmental Disabilities (DBHDD), generating $2M+ in consulting revenue.</w:t>
      </w:r>
    </w:p>
    <w:p>
      <w:pPr>
        <w:pStyle w:val="Compact"/>
        <w:numPr>
          <w:ilvl w:val="0"/>
          <w:numId w:val="1007"/>
        </w:numPr>
      </w:pPr>
      <w:r>
        <w:t xml:space="preserve">Built a statewide demand forecasting system for Georgia’s behavioral health crisis services, covering dozens of facilities.</w:t>
      </w:r>
    </w:p>
    <w:p>
      <w:pPr>
        <w:pStyle w:val="Compact"/>
        <w:numPr>
          <w:ilvl w:val="0"/>
          <w:numId w:val="1007"/>
        </w:numPr>
      </w:pPr>
      <w:r>
        <w:t xml:space="preserve">Grew the Slalom AI consulting practice through workshops, marketing materials, and sales support.</w:t>
      </w:r>
    </w:p>
    <w:p>
      <w:pPr>
        <w:pStyle w:val="Compact"/>
        <w:numPr>
          <w:ilvl w:val="0"/>
          <w:numId w:val="1007"/>
        </w:numPr>
      </w:pPr>
      <w:r>
        <w:t xml:space="preserve">Partnered with Microsoft Azure to deliver joint healthcare and public-sector solutions.</w:t>
      </w:r>
    </w:p>
    <w:bookmarkEnd w:id="16"/>
    <w:bookmarkStart w:id="17" w:name="senior-support-engineer"/>
    <w:p>
      <w:pPr>
        <w:pStyle w:val="Heading3"/>
      </w:pPr>
      <w:r>
        <w:t xml:space="preserve">Senior Support Engineer</w:t>
      </w:r>
    </w:p>
    <w:p>
      <w:pPr>
        <w:pStyle w:val="FirstParagraph"/>
      </w:pPr>
      <w:r>
        <w:rPr>
          <w:b/>
          <w:bCs/>
        </w:rPr>
        <w:t xml:space="preserve">Microsoft</w:t>
      </w:r>
      <w:r>
        <w:t xml:space="preserve"> </w:t>
      </w:r>
      <w:r>
        <w:t xml:space="preserve">| Charlotte, NC | Jul 2012 – Mar 2014</w:t>
      </w:r>
    </w:p>
    <w:p>
      <w:pPr>
        <w:pStyle w:val="Compact"/>
        <w:numPr>
          <w:ilvl w:val="0"/>
          <w:numId w:val="1008"/>
        </w:numPr>
      </w:pPr>
      <w:r>
        <w:t xml:space="preserve">Delivered advanced technical support to Fortune 100 clients including Chevron, Walmart, Deloitte, BlueCross BlueShield, and Department of Defense, acting as escalation contact for critical enterprise deployments.</w:t>
      </w:r>
    </w:p>
    <w:p>
      <w:r>
        <w:pict>
          <v:rect style="width:0;height:1.5pt" o:hralign="center" o:hrstd="t" o:hr="t"/>
        </w:pict>
      </w:r>
    </w:p>
    <w:bookmarkEnd w:id="17"/>
    <w:bookmarkEnd w:id="18"/>
    <w:bookmarkStart w:id="20" w:name="education"/>
    <w:p>
      <w:pPr>
        <w:pStyle w:val="Heading2"/>
      </w:pPr>
      <w:r>
        <w:t xml:space="preserve">Education</w:t>
      </w:r>
    </w:p>
    <w:bookmarkStart w:id="19" w:name="X012a5dbd48746ff682a90f1e8b6172df0957ae9"/>
    <w:p>
      <w:pPr>
        <w:pStyle w:val="Heading3"/>
      </w:pPr>
      <w:r>
        <w:t xml:space="preserve">Bachelor of Science (Computer Science) &amp; Bachelor of Arts (Cognitive Science)</w:t>
      </w:r>
    </w:p>
    <w:p>
      <w:pPr>
        <w:pStyle w:val="FirstParagraph"/>
      </w:pPr>
      <w:r>
        <w:rPr>
          <w:b/>
          <w:bCs/>
        </w:rPr>
        <w:t xml:space="preserve">University of Georgia</w:t>
      </w:r>
      <w:r>
        <w:t xml:space="preserve"> </w:t>
      </w:r>
      <w:r>
        <w:t xml:space="preserve">| 2008 – 2012</w:t>
      </w:r>
      <w:r>
        <w:t xml:space="preserve"> </w:t>
      </w:r>
      <w:r>
        <w:t xml:space="preserve">Dual degree with AI specialization. Graduated Cum Laude.</w:t>
      </w:r>
    </w:p>
    <w:p>
      <w:r>
        <w:pict>
          <v:rect style="width:0;height:1.5pt" o:hralign="center" o:hrstd="t" o:hr="t"/>
        </w:pict>
      </w:r>
    </w:p>
    <w:bookmarkEnd w:id="19"/>
    <w:bookmarkEnd w:id="20"/>
    <w:bookmarkStart w:id="21" w:name="technical-skills"/>
    <w:p>
      <w:pPr>
        <w:pStyle w:val="Heading2"/>
      </w:pPr>
      <w:r>
        <w:t xml:space="preserve">Technical Skills</w:t>
      </w:r>
    </w:p>
    <w:p>
      <w:pPr>
        <w:pStyle w:val="FirstParagraph"/>
      </w:pPr>
      <w:r>
        <w:rPr>
          <w:b/>
          <w:bCs/>
        </w:rPr>
        <w:t xml:space="preserve">AI &amp; Machine Learning:</w:t>
      </w:r>
      <w:r>
        <w:t xml:space="preserve"> </w:t>
      </w:r>
      <w:r>
        <w:t xml:space="preserve">Artificial Intelligence, Machine Learning, Deep Learning, Generative AI, Large Language Models, Agentic AI, Multi-agent Systems, Natural Language Processing, MLOps, Predictive Analytics, Conversational AI</w:t>
      </w:r>
    </w:p>
    <w:p>
      <w:pPr>
        <w:pStyle w:val="BodyText"/>
      </w:pPr>
      <w:r>
        <w:rPr>
          <w:b/>
          <w:bCs/>
        </w:rPr>
        <w:t xml:space="preserve">Cloud &amp; Infrastructure:</w:t>
      </w:r>
      <w:r>
        <w:t xml:space="preserve"> </w:t>
      </w:r>
      <w:r>
        <w:t xml:space="preserve">AWS (SageMaker, Bedrock, ECS/EKS, Lambda, S3, Glue), Microsoft Azure, GPU Computing, Snowflake, Distributed Systems, Docker</w:t>
      </w:r>
    </w:p>
    <w:p>
      <w:pPr>
        <w:pStyle w:val="BodyText"/>
      </w:pPr>
      <w:r>
        <w:rPr>
          <w:b/>
          <w:bCs/>
        </w:rPr>
        <w:t xml:space="preserve">Healthcare &amp; Life Sciences:</w:t>
      </w:r>
      <w:r>
        <w:t xml:space="preserve"> </w:t>
      </w:r>
      <w:r>
        <w:t xml:space="preserve">HIPAA, FedRAMP, Clinical Decision Support, Population Health Analytics, Genomics, Neuroinformatics, CDISC/HL7 Interoperability, Differential Privacy</w:t>
      </w:r>
    </w:p>
    <w:p>
      <w:pPr>
        <w:pStyle w:val="BodyText"/>
      </w:pPr>
      <w:r>
        <w:rPr>
          <w:b/>
          <w:bCs/>
        </w:rPr>
        <w:t xml:space="preserve">Programming Languages:</w:t>
      </w:r>
      <w:r>
        <w:t xml:space="preserve"> </w:t>
      </w:r>
      <w:r>
        <w:t xml:space="preserve">Python, SQL, JavaScript, C#, Bash</w:t>
      </w:r>
    </w:p>
    <w:p>
      <w:pPr>
        <w:pStyle w:val="BodyText"/>
      </w:pPr>
      <w:r>
        <w:rPr>
          <w:b/>
          <w:bCs/>
        </w:rPr>
        <w:t xml:space="preserve">Leadership &amp; Strategy:</w:t>
      </w:r>
      <w:r>
        <w:t xml:space="preserve"> </w:t>
      </w:r>
      <w:r>
        <w:t xml:space="preserve">Go-to-Market Strategy, Partner Ecosystem Development, Enterprise Account Management, Cross-functional Team Leadership, AI Governance</w:t>
      </w:r>
    </w:p>
    <w:p>
      <w:r>
        <w:pict>
          <v:rect style="width:0;height:1.5pt" o:hralign="center" o:hrstd="t" o:hr="t"/>
        </w:pict>
      </w:r>
    </w:p>
    <w:bookmarkEnd w:id="21"/>
    <w:bookmarkStart w:id="22" w:name="certifications"/>
    <w:p>
      <w:pPr>
        <w:pStyle w:val="Heading2"/>
      </w:pPr>
      <w:r>
        <w:t xml:space="preserve">Certifications</w:t>
      </w:r>
    </w:p>
    <w:p>
      <w:pPr>
        <w:pStyle w:val="Compact"/>
        <w:numPr>
          <w:ilvl w:val="0"/>
          <w:numId w:val="1009"/>
        </w:numPr>
      </w:pPr>
      <w:r>
        <w:rPr>
          <w:b/>
          <w:bCs/>
        </w:rPr>
        <w:t xml:space="preserve">AWS Certified Machine Learning Engineer</w:t>
      </w:r>
      <w:r>
        <w:t xml:space="preserve"> </w:t>
      </w:r>
      <w:r>
        <w:t xml:space="preserve">— Amazon Web Services (Sep 2025)</w:t>
      </w:r>
    </w:p>
    <w:p>
      <w:pPr>
        <w:pStyle w:val="Compact"/>
        <w:numPr>
          <w:ilvl w:val="0"/>
          <w:numId w:val="1009"/>
        </w:numPr>
      </w:pPr>
      <w:r>
        <w:rPr>
          <w:b/>
          <w:bCs/>
        </w:rPr>
        <w:t xml:space="preserve">AWS Certified AI Practitioner</w:t>
      </w:r>
      <w:r>
        <w:t xml:space="preserve"> </w:t>
      </w:r>
      <w:r>
        <w:t xml:space="preserve">— Amazon Web Services (Sep 2025)</w:t>
      </w:r>
    </w:p>
    <w:p>
      <w:pPr>
        <w:pStyle w:val="Compact"/>
        <w:numPr>
          <w:ilvl w:val="0"/>
          <w:numId w:val="1009"/>
        </w:numPr>
      </w:pPr>
      <w:r>
        <w:rPr>
          <w:b/>
          <w:bCs/>
        </w:rPr>
        <w:t xml:space="preserve">AWS Certified Machine Learning - Specialty</w:t>
      </w:r>
      <w:r>
        <w:t xml:space="preserve"> </w:t>
      </w:r>
      <w:r>
        <w:t xml:space="preserve">— Amazon Web Services (Jan 2020)</w:t>
      </w:r>
    </w:p>
    <w:p>
      <w:pPr>
        <w:pStyle w:val="Compact"/>
        <w:numPr>
          <w:ilvl w:val="0"/>
          <w:numId w:val="1009"/>
        </w:numPr>
      </w:pPr>
      <w:r>
        <w:rPr>
          <w:b/>
          <w:bCs/>
        </w:rPr>
        <w:t xml:space="preserve">AWS Certified Solutions Architect</w:t>
      </w:r>
      <w:r>
        <w:t xml:space="preserve"> </w:t>
      </w:r>
      <w:r>
        <w:t xml:space="preserve">— Amazon Web Services (Jul 2018)</w:t>
      </w:r>
    </w:p>
    <w:p>
      <w:r>
        <w:pict>
          <v:rect style="width:0;height:1.5pt" o:hralign="center" o:hrstd="t" o:hr="t"/>
        </w:pict>
      </w:r>
    </w:p>
    <w:bookmarkEnd w:id="22"/>
    <w:bookmarkStart w:id="25" w:name="publications"/>
    <w:p>
      <w:pPr>
        <w:pStyle w:val="Heading2"/>
      </w:pPr>
      <w:r>
        <w:t xml:space="preserve">Publications</w:t>
      </w:r>
    </w:p>
    <w:bookmarkStart w:id="24" w:name="X1492253e9ec77be8ebedbe9d75a5bf53043d789"/>
    <w:p>
      <w:pPr>
        <w:pStyle w:val="Heading3"/>
      </w:pPr>
      <w:hyperlink r:id="rId23">
        <w:r>
          <w:rPr>
            <w:rStyle w:val="Hyperlink"/>
          </w:rPr>
          <w:t xml:space="preserve">Enhancing Collaborative Neuroimaging Research: Introducing COINSTAC Vaults for Federated Analysis and Reproducibility</w:t>
        </w:r>
      </w:hyperlink>
    </w:p>
    <w:p>
      <w:pPr>
        <w:pStyle w:val="FirstParagraph"/>
      </w:pPr>
      <w:r>
        <w:t xml:space="preserve">Frontiers in Neuroinformatics (Jun 2023). Co-authored research on federated analysis for neuroimaging, demonstrating privacy-preserving collaborative computation across research institutions.</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www.frontiersin.org/journals/neuroinformatics/articles/10.3389/fninf.2023.1207721/full" TargetMode="External" /></Relationships>
</file>

<file path=word/_rels/footnotes.xml.rels><?xml version="1.0" encoding="UTF-8"?><Relationships xmlns="http://schemas.openxmlformats.org/package/2006/relationships"><Relationship Type="http://schemas.openxmlformats.org/officeDocument/2006/relationships/hyperlink" Id="rId23" Target="https://www.frontiersin.org/journals/neuroinformatics/articles/10.3389/fninf.2023.1207721/ful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2026-04-11T03:47:16Z</dcterms:created>
  <dcterms:modified xsi:type="dcterms:W3CDTF">2026-04-11T03:47:16Z</dcterms:modified>
</cp:coreProperties>
</file>

<file path=docProps/custom.xml><?xml version="1.0" encoding="utf-8"?>
<Properties xmlns="http://schemas.openxmlformats.org/officeDocument/2006/custom-properties" xmlns:vt="http://schemas.openxmlformats.org/officeDocument/2006/docPropsVTypes"/>
</file>