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paul-prae"/>
    <w:p>
      <w:pPr>
        <w:pStyle w:val="Heading1"/>
      </w:pPr>
      <w:r>
        <w:t xml:space="preserve">Paul Prae</w:t>
      </w:r>
    </w:p>
    <w:p>
      <w:pPr>
        <w:pStyle w:val="FirstParagraph"/>
      </w:pPr>
      <w:r>
        <w:t xml:space="preserve">Buford, GA · hireme@paulprae.com ·</w:t>
      </w:r>
      <w:r>
        <w:t xml:space="preserve"> </w:t>
      </w:r>
      <w:hyperlink r:id="rId9">
        <w:r>
          <w:rPr>
            <w:rStyle w:val="Hyperlink"/>
          </w:rPr>
          <w:t xml:space="preserve">linkedin.com/in/paulprae</w:t>
        </w:r>
      </w:hyperlink>
      <w:r>
        <w:t xml:space="preserve"> </w:t>
      </w:r>
      <w:r>
        <w:t xml:space="preserve">·</w:t>
      </w:r>
      <w:r>
        <w:t xml:space="preserve"> </w:t>
      </w:r>
      <w:hyperlink r:id="rId10">
        <w:r>
          <w:rPr>
            <w:rStyle w:val="Hyperlink"/>
          </w:rPr>
          <w:t xml:space="preserve">paulprae.com</w:t>
        </w:r>
      </w:hyperlink>
    </w:p>
    <w:p>
      <w:pPr>
        <w:pStyle w:val="BodyText"/>
      </w:pPr>
      <w:r>
        <w:t xml:space="preserve">2026-04-08</w:t>
      </w:r>
    </w:p>
    <w:p>
      <w:pPr>
        <w:pStyle w:val="BodyText"/>
      </w:pPr>
      <w:r>
        <w:rPr>
          <w:b/>
          <w:bCs/>
        </w:rPr>
        <w:t xml:space="preserve">NVIDIA — Healthcare and Life Sciences</w:t>
      </w:r>
      <w:r>
        <w:t xml:space="preserve"> </w:t>
      </w:r>
      <w:r>
        <w:t xml:space="preserve">Attn: Hiring Team, Global GSI Lead, Healthcare and Life Sciences Ecosystem</w:t>
      </w:r>
      <w:r>
        <w:t xml:space="preserve"> </w:t>
      </w:r>
      <w:r>
        <w:t xml:space="preserve">c/o Kimberly Powell, VP Healthcare</w:t>
      </w:r>
      <w:r>
        <w:t xml:space="preserve"> </w:t>
      </w:r>
      <w:r>
        <w:t xml:space="preserve">Santa Clara, CA</w:t>
      </w:r>
    </w:p>
    <w:p>
      <w:pPr>
        <w:pStyle w:val="BodyText"/>
      </w:pPr>
      <w:r>
        <w:t xml:space="preserve">Dear NVIDIA Healthcare Team,</w:t>
      </w:r>
    </w:p>
    <w:p>
      <w:pPr>
        <w:pStyle w:val="BodyText"/>
      </w:pPr>
      <w:r>
        <w:t xml:space="preserve">When Kimberly Powell called this</w:t>
      </w:r>
      <w:r>
        <w:t xml:space="preserve"> </w:t>
      </w:r>
      <w:r>
        <w:t xml:space="preserve">“the transformer moment for biology and drug discovery”</w:t>
      </w:r>
      <w:r>
        <w:t xml:space="preserve"> </w:t>
      </w:r>
      <w:r>
        <w:t xml:space="preserve">at GTC 2026 — against the backdrop of the Lilly co-innovation lab, LillyPod’s 1,016 Blackwell Ultra GPUs, Roche’s 3,500+ Blackwell deployment, the Mayo Clinic DGX B200 pathology collaboration, IQVIA.ai’s reach into 19 of the top 20 pharmas, and the Agent Toolkit’s open release — she described the role I have been preparing for my entire career. I am writing to apply for the</w:t>
      </w:r>
      <w:r>
        <w:t xml:space="preserve"> </w:t>
      </w:r>
      <w:r>
        <w:rPr>
          <w:b/>
          <w:bCs/>
        </w:rPr>
        <w:t xml:space="preserve">Global GSI Lead, Healthcare and Life Sciences Ecosystem</w:t>
      </w:r>
      <w:r>
        <w:t xml:space="preserve"> </w:t>
      </w:r>
      <w:r>
        <w:t xml:space="preserve">position.</w:t>
      </w:r>
    </w:p>
    <w:p>
      <w:pPr>
        <w:pStyle w:val="BodyText"/>
      </w:pPr>
      <w:r>
        <w:t xml:space="preserve">NVIDIA’s healthcare wins are no longer an experimental bet; they are a platform play that only scales through partners. The math is simple: Accenture, Deloitte, Wipro, Capgemini, Infosys, TCS, HCL, IBM Consulting, and Cognizant are how Clara, BioNeMo, Parabricks, MONAI, and Holoscan actually reach hospitals, payors, pharmas, and CROs at global scale. You need a GSI Lead who can walk into a GSI healthcare practice leader’s office and be immediately credible on three axes at once: (1) deep HCLS AI engineering, (2) the GSI operating model, and (3) NVIDIA’s accelerated-computing stack. I am one of the very few candidates who has lived all three.</w:t>
      </w:r>
    </w:p>
    <w:p>
      <w:pPr>
        <w:pStyle w:val="BodyText"/>
      </w:pPr>
      <w:r>
        <w:rPr>
          <w:b/>
          <w:bCs/>
        </w:rPr>
        <w:t xml:space="preserve">Healthcare AI at scale.</w:t>
      </w:r>
      <w:r>
        <w:t xml:space="preserve"> </w:t>
      </w:r>
      <w:r>
        <w:t xml:space="preserve">Today I run data operations for Arine, a medication-optimization platform</w:t>
      </w:r>
      <w:r>
        <w:t xml:space="preserve"> </w:t>
      </w:r>
      <w:r>
        <w:rPr>
          <w:b/>
          <w:bCs/>
        </w:rPr>
        <w:t xml:space="preserve">touching 30M+ members across 45+ health plans</w:t>
      </w:r>
      <w:r>
        <w:t xml:space="preserve"> </w:t>
      </w:r>
      <w:r>
        <w:t xml:space="preserve">— the exact payor environment your GSIs sell clinical AI into. I built the HIPAA-compliant AI DataOps Toolkit there, including an agent framework that autonomously generates, deploys, and tests ETL pipelines. Before Arine, I was Chief AI Architect at Booz Allen Hamilton, where I</w:t>
      </w:r>
      <w:r>
        <w:t xml:space="preserve"> </w:t>
      </w:r>
      <w:r>
        <w:rPr>
          <w:b/>
          <w:bCs/>
        </w:rPr>
        <w:t xml:space="preserve">drafted foundational AI governance policies for the FDA’s Center for Devices and Radiological Health</w:t>
      </w:r>
      <w:r>
        <w:t xml:space="preserve"> </w:t>
      </w:r>
      <w:r>
        <w:t xml:space="preserve">in response to President Biden’s Executive Order 14110. I also delivered FedRAMP/HIPAA healthcare analytics work for federal clients including the FDA and CDRH, supporting population health and vaccine supply chain analytics. Before that, I led the cloud and GPU compute architecture for COINSTAC at the TReNDS Center — an open-source federated neuroimaging and genomics platform using differential privacy to protect PHI across institutions — and co-authored the peer-reviewed</w:t>
      </w:r>
      <w:r>
        <w:t xml:space="preserve"> </w:t>
      </w:r>
      <w:r>
        <w:rPr>
          <w:i/>
          <w:iCs/>
        </w:rPr>
        <w:t xml:space="preserve">Frontiers in Neuroinformatics</w:t>
      </w:r>
      <w:r>
        <w:t xml:space="preserve"> </w:t>
      </w:r>
      <w:r>
        <w:t xml:space="preserve">paper describing it. At NeuroLex Labs, I built the ML pipelines behind voice-biomarker research into neurodegenerative disease. My Hyperbloom consultancy has delivered healthcare and life-sciences AI work spanning clinical-trial disaster recovery for platforms supporting 10,000+ research sites in 45 countries, blockchain-based life-science data exchange meeting HIPAA/GDPR/HL7/CDISC, and a production AWS genomics data lake. HCLS is not a new industry for me to learn — it is the domain I have been shipping into for over a decade.</w:t>
      </w:r>
    </w:p>
    <w:p>
      <w:pPr>
        <w:pStyle w:val="BodyText"/>
      </w:pPr>
      <w:r>
        <w:rPr>
          <w:b/>
          <w:bCs/>
        </w:rPr>
        <w:t xml:space="preserve">The GSI operating model, from both sides of the table.</w:t>
      </w:r>
      <w:r>
        <w:t xml:space="preserve"> </w:t>
      </w:r>
      <w:r>
        <w:t xml:space="preserve">At AWS, I served as an Enterprise AI/ML Solutions Architect covering 10+ enterprise accounts (Cox Enterprises, Equifax, NCR, Cox Automotive, and others) and</w:t>
      </w:r>
      <w:r>
        <w:t xml:space="preserve"> </w:t>
      </w:r>
      <w:r>
        <w:rPr>
          <w:b/>
          <w:bCs/>
        </w:rPr>
        <w:t xml:space="preserve">co-selling directly with Deloitte and Accenture</w:t>
      </w:r>
      <w:r>
        <w:t xml:space="preserve"> </w:t>
      </w:r>
      <w:r>
        <w:t xml:space="preserve">as my primary GSI partners — the exact motion NVIDIA runs today. I know what a GSI needs from a tech vendor counterpart, because I sat on the NVIDIA side of that table once. I also know what a GSI needs</w:t>
      </w:r>
      <w:r>
        <w:t xml:space="preserve"> </w:t>
      </w:r>
      <w:r>
        <w:rPr>
          <w:i/>
          <w:iCs/>
        </w:rPr>
        <w:t xml:space="preserve">internally</w:t>
      </w:r>
      <w:r>
        <w:t xml:space="preserve">, because I have operated as a consultant at</w:t>
      </w:r>
      <w:r>
        <w:t xml:space="preserve"> </w:t>
      </w:r>
      <w:r>
        <w:rPr>
          <w:b/>
          <w:bCs/>
        </w:rPr>
        <w:t xml:space="preserve">Slalom</w:t>
      </w:r>
      <w:r>
        <w:t xml:space="preserve"> </w:t>
      </w:r>
      <w:r>
        <w:t xml:space="preserve">(partnering with Microsoft Azure into healthcare and public sector), at</w:t>
      </w:r>
      <w:r>
        <w:t xml:space="preserve"> </w:t>
      </w:r>
      <w:r>
        <w:rPr>
          <w:b/>
          <w:bCs/>
        </w:rPr>
        <w:t xml:space="preserve">Booz Allen Hamilton</w:t>
      </w:r>
      <w:r>
        <w:t xml:space="preserve"> </w:t>
      </w:r>
      <w:r>
        <w:t xml:space="preserve">(partnering with AWS into federal health), and as the founder of</w:t>
      </w:r>
      <w:r>
        <w:t xml:space="preserve"> </w:t>
      </w:r>
      <w:r>
        <w:rPr>
          <w:b/>
          <w:bCs/>
        </w:rPr>
        <w:t xml:space="preserve">Hyperbloom</w:t>
      </w:r>
      <w:r>
        <w:t xml:space="preserve"> </w:t>
      </w:r>
      <w:r>
        <w:t xml:space="preserve">(partnering with AWS, boutique firms, and research organizations like TReNDS Center). At Hyperbloom, I built the entire GTM motion from scratch — ICP, messaging, pricing, packaging, partner co-sell, SOW templates, full lead-to-close sales cycle — and grew the business to $1.4M ARR from a $40K investment. That is the muscle I want to apply to building healthcare joint GTM plans with every GSI in your ecosystem. Every time I have walked into a Deloitte or Accenture consulting room, I have walked in speaking their language, because I was them for years.</w:t>
      </w:r>
    </w:p>
    <w:p>
      <w:pPr>
        <w:pStyle w:val="BodyText"/>
      </w:pPr>
      <w:r>
        <w:rPr>
          <w:b/>
          <w:bCs/>
        </w:rPr>
        <w:t xml:space="preserve">NVIDIA accelerated-computing fluency.</w:t>
      </w:r>
      <w:r>
        <w:t xml:space="preserve"> </w:t>
      </w:r>
      <w:r>
        <w:t xml:space="preserve">I do not want to bluff my way through a technical conversation with a GSI solution architect, and I will not have to. I built the GPU compute infrastructure for COINSTAC’s deep-learning workloads at TReNDS Center. I benchmark and run LLM workloads on both AWS and Azure GPU fleets. I run</w:t>
      </w:r>
      <w:r>
        <w:t xml:space="preserve"> </w:t>
      </w:r>
      <w:r>
        <w:rPr>
          <w:b/>
          <w:bCs/>
        </w:rPr>
        <w:t xml:space="preserve">NVIDIA RTX 4090 and RTX 5090 workstations locally</w:t>
      </w:r>
      <w:r>
        <w:t xml:space="preserve">, using LM Studio, Ollama, and Open WebUI every day to develop and evaluate multi-agent systems against Mistral, Qwen, Llama, and DeepSeek families — the same open-weight models NVIDIA is packaging through NIM microservices and the Agent Toolkit for enterprise deployment. I build AI agents daily, and I ship them:</w:t>
      </w:r>
      <w:r>
        <w:t xml:space="preserve"> </w:t>
      </w:r>
      <w:hyperlink r:id="rId10">
        <w:r>
          <w:rPr>
            <w:rStyle w:val="Hyperlink"/>
          </w:rPr>
          <w:t xml:space="preserve">paulprae.com</w:t>
        </w:r>
      </w:hyperlink>
      <w:r>
        <w:t xml:space="preserve"> </w:t>
      </w:r>
      <w:r>
        <w:t xml:space="preserve">is a live production AI career assistant I built on Next.js, the Vercel AI SDK, and Claude Opus 4.6 with tool-calling. I hold AWS certifications in ML Engineering, ML Specialty, AI Practitioner, and Solutions Architecture. When an NVIDIA GSI partner’s architect wants to talk DGX topology, Blackwell memory footprint, BioNeMo fine-tuning, Parabricks genomics acceleration, or MONAI deployment patterns, I will be ready on day one.</w:t>
      </w:r>
    </w:p>
    <w:p>
      <w:pPr>
        <w:pStyle w:val="BodyText"/>
      </w:pPr>
      <w:r>
        <w:rPr>
          <w:b/>
          <w:bCs/>
        </w:rPr>
        <w:t xml:space="preserve">Why this role, and why now.</w:t>
      </w:r>
      <w:r>
        <w:t xml:space="preserve"> </w:t>
      </w:r>
      <w:r>
        <w:t xml:space="preserve">NVIDIA is uniquely positioned in this moment: the only company with a vertically integrated stack — silicon, systems, CUDA libraries, domain-specific platforms (Clara, BioNeMo, Parabricks, MONAI, Holoscan), NIM microservices, and an alliance ecosystem (NPN, Inception Healthcare Alliance with 5,000+ startups, 2,000+ digital-health members) — and it is meeting a $4.9T healthcare market deploying AI at twice the rate of the broader economy. The next phase is execution at scale through GSIs, and GSIs will win or lose these deals on the quality of joint solutioning, co-innovation, and enablement that NVIDIA brings to the table. I want to be the person who makes that happen globally for HCLS. I am adaptable, high-energy, a proven influencer without authority across matrixed organizations, and deeply mission-driven about putting AI in service of human health.</w:t>
      </w:r>
    </w:p>
    <w:p>
      <w:pPr>
        <w:pStyle w:val="BodyText"/>
      </w:pPr>
      <w:r>
        <w:t xml:space="preserve">I would love the chance to walk your team through specific joint-solution plays I would bring to each of the top GSIs, and to hear how you are thinking about scaling the Healthcare Alliance in 2026. Thank you for considering my application.</w:t>
      </w:r>
    </w:p>
    <w:p>
      <w:pPr>
        <w:pStyle w:val="BodyText"/>
      </w:pPr>
      <w:r>
        <w:t xml:space="preserve">Sincerely,</w:t>
      </w:r>
    </w:p>
    <w:p>
      <w:pPr>
        <w:pStyle w:val="BodyText"/>
      </w:pPr>
      <w:r>
        <w:rPr>
          <w:b/>
          <w:bCs/>
        </w:rPr>
        <w:t xml:space="preserve">Paul Prae</w:t>
      </w:r>
      <w:r>
        <w:t xml:space="preserve"> </w:t>
      </w:r>
      <w:hyperlink r:id="rId10">
        <w:r>
          <w:rPr>
            <w:rStyle w:val="Hyperlink"/>
          </w:rPr>
          <w:t xml:space="preserve">paulprae.com</w:t>
        </w:r>
      </w:hyperlink>
      <w:r>
        <w:t xml:space="preserve"> </w:t>
      </w:r>
      <w:r>
        <w:t xml:space="preserve">·</w:t>
      </w:r>
      <w:r>
        <w:t xml:space="preserve"> </w:t>
      </w:r>
      <w:hyperlink r:id="rId9">
        <w:r>
          <w:rPr>
            <w:rStyle w:val="Hyperlink"/>
          </w:rPr>
          <w:t xml:space="preserve">linkedin.com/in/paulprae</w:t>
        </w:r>
      </w:hyperlink>
      <w:r>
        <w:t xml:space="preserve"> </w:t>
      </w:r>
      <w:r>
        <w:t xml:space="preserve">·</w:t>
      </w:r>
      <w:r>
        <w:t xml:space="preserve"> </w:t>
      </w:r>
      <w:hyperlink r:id="rId11">
        <w:r>
          <w:rPr>
            <w:rStyle w:val="Hyperlink"/>
          </w:rPr>
          <w:t xml:space="preserve">github.com/praeducer</w:t>
        </w:r>
      </w:hyperlink>
    </w:p>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 Target="https://github.com/praeducer" TargetMode="External" /><Relationship Type="http://schemas.openxmlformats.org/officeDocument/2006/relationships/hyperlink" Id="rId10" Target="https://paulprae.com" TargetMode="External" /><Relationship Type="http://schemas.openxmlformats.org/officeDocument/2006/relationships/hyperlink" Id="rId9" Target="https://www.linkedin.com/in/paulprae" TargetMode="External" /></Relationships>
</file>

<file path=word/_rels/footnotes.xml.rels><?xml version="1.0" encoding="UTF-8"?><Relationships xmlns="http://schemas.openxmlformats.org/package/2006/relationships"><Relationship Type="http://schemas.openxmlformats.org/officeDocument/2006/relationships/hyperlink" Id="rId11" Target="https://github.com/praeducer" TargetMode="External" /><Relationship Type="http://schemas.openxmlformats.org/officeDocument/2006/relationships/hyperlink" Id="rId10" Target="https://paulprae.com" TargetMode="External" /><Relationship Type="http://schemas.openxmlformats.org/officeDocument/2006/relationships/hyperlink" Id="rId9" Target="https://www.linkedin.com/in/paulpra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2026-04-08T22:18:06Z</dcterms:created>
  <dcterms:modified xsi:type="dcterms:W3CDTF">2026-04-08T22:18:06Z</dcterms:modified>
</cp:coreProperties>
</file>

<file path=docProps/custom.xml><?xml version="1.0" encoding="utf-8"?>
<Properties xmlns="http://schemas.openxmlformats.org/officeDocument/2006/custom-properties" xmlns:vt="http://schemas.openxmlformats.org/officeDocument/2006/docPropsVTypes"/>
</file>