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paul-prae"/>
    <w:p>
      <w:pPr>
        <w:pStyle w:val="Heading1"/>
      </w:pPr>
      <w:r>
        <w:t xml:space="preserve">Paul Prae</w:t>
      </w:r>
    </w:p>
    <w:p>
      <w:pPr>
        <w:pStyle w:val="FirstParagraph"/>
      </w:pPr>
      <w:r>
        <w:rPr>
          <w:b/>
          <w:bCs/>
        </w:rPr>
        <w:t xml:space="preserve">Principal AI Solutions Architect</w:t>
      </w:r>
      <w:r>
        <w:t xml:space="preserve"> </w:t>
      </w:r>
      <w:r>
        <w:t xml:space="preserve">| Buford, GA | hireme@paulprae.com |</w:t>
      </w:r>
      <w:r>
        <w:t xml:space="preserve"> </w:t>
      </w:r>
      <w:hyperlink r:id="rId9">
        <w:r>
          <w:rPr>
            <w:rStyle w:val="Hyperlink"/>
          </w:rPr>
          <w:t xml:space="preserve">linkedin.com/in/paulprae</w:t>
        </w:r>
      </w:hyperlink>
      <w:r>
        <w:t xml:space="preserve"> </w:t>
      </w:r>
      <w:r>
        <w:t xml:space="preserve">|</w:t>
      </w:r>
      <w:r>
        <w:t xml:space="preserve"> </w:t>
      </w:r>
      <w:hyperlink r:id="rId10">
        <w:r>
          <w:rPr>
            <w:rStyle w:val="Hyperlink"/>
          </w:rPr>
          <w:t xml:space="preserve">github.com/praeducer</w:t>
        </w:r>
      </w:hyperlink>
      <w:r>
        <w:t xml:space="preserve"> </w:t>
      </w:r>
      <w:r>
        <w:t xml:space="preserve">|</w:t>
      </w:r>
      <w:r>
        <w:t xml:space="preserve"> </w:t>
      </w:r>
      <w:hyperlink r:id="rId11">
        <w:r>
          <w:rPr>
            <w:rStyle w:val="Hyperlink"/>
          </w:rPr>
          <w:t xml:space="preserve">paulprae.com</w:t>
        </w:r>
      </w:hyperlink>
    </w:p>
    <w:p>
      <w:r>
        <w:pict>
          <v:rect style="width:0;height:1.5pt" o:hralign="center" o:hrstd="t" o:hr="t"/>
        </w:pict>
      </w:r>
    </w:p>
    <w:bookmarkStart w:id="12" w:name="professional-summary"/>
    <w:p>
      <w:pPr>
        <w:pStyle w:val="Heading2"/>
      </w:pPr>
      <w:r>
        <w:t xml:space="preserve">Professional Summary</w:t>
      </w:r>
    </w:p>
    <w:p>
      <w:pPr>
        <w:pStyle w:val="FirstParagraph"/>
      </w:pPr>
      <w:r>
        <w:t xml:space="preserve">AI solutions architect and engineering leader with 13+ years fusing</w:t>
      </w:r>
      <w:r>
        <w:t xml:space="preserve"> </w:t>
      </w:r>
      <w:r>
        <w:rPr>
          <w:b/>
          <w:bCs/>
        </w:rPr>
        <w:t xml:space="preserve">healthcare and life sciences AI delivery</w:t>
      </w:r>
      <w:r>
        <w:t xml:space="preserve"> </w:t>
      </w:r>
      <w:r>
        <w:t xml:space="preserve">with</w:t>
      </w:r>
      <w:r>
        <w:t xml:space="preserve"> </w:t>
      </w:r>
      <w:r>
        <w:rPr>
          <w:b/>
          <w:bCs/>
        </w:rPr>
        <w:t xml:space="preserve">partner-led go-to-market</w:t>
      </w:r>
      <w:r>
        <w:t xml:space="preserve"> </w:t>
      </w:r>
      <w:r>
        <w:t xml:space="preserve">across Amazon Web Services, Microsoft, Booz Allen Hamilton, Slalom Consulting, and Hyperbloom. Has operated on both sides of the GSI table — partnering with Deloitte and Accenture as an AWS Enterprise AI/ML Solutions Architect, and delivering joint solutions</w:t>
      </w:r>
      <w:r>
        <w:t xml:space="preserve"> </w:t>
      </w:r>
      <w:r>
        <w:rPr>
          <w:i/>
          <w:iCs/>
        </w:rPr>
        <w:t xml:space="preserve">as</w:t>
      </w:r>
      <w:r>
        <w:t xml:space="preserve"> </w:t>
      </w:r>
      <w:r>
        <w:t xml:space="preserve">a consultant inside Slalom, Booz Allen, and Hyperbloom — while personally architecting GPU compute, federated research platforms, and HIPAA/FedRAMP-grade AI systems for payors, providers, clinical research organizations, and federal health agencies. Deep expertise in agentic AI, generative AI, accelerated computing, and joint solutioning. Drove the GTM motion that grew Hyperbloom from a $40K investment to $1.4M ARR. Ready to scale NVIDIA’s Clara, BioNeMo, Parabricks, MONAI, and Holoscan portfolio through the world’s largest Global System Integrators.</w:t>
      </w:r>
    </w:p>
    <w:p>
      <w:r>
        <w:pict>
          <v:rect style="width:0;height:1.5pt" o:hralign="center" o:hrstd="t" o:hr="t"/>
        </w:pict>
      </w:r>
    </w:p>
    <w:bookmarkEnd w:id="12"/>
    <w:bookmarkStart w:id="23" w:name="professional-experience"/>
    <w:p>
      <w:pPr>
        <w:pStyle w:val="Heading2"/>
      </w:pPr>
      <w:r>
        <w:t xml:space="preserve">Professional Experience</w:t>
      </w:r>
    </w:p>
    <w:bookmarkStart w:id="13" w:name="X31507d0e197961176e8c8b62f57fcba27871e1f"/>
    <w:p>
      <w:pPr>
        <w:pStyle w:val="Heading3"/>
      </w:pPr>
      <w:r>
        <w:t xml:space="preserve">Staff AI DataOps Engineer — Healthcare Platform at Scale</w:t>
      </w:r>
    </w:p>
    <w:p>
      <w:pPr>
        <w:pStyle w:val="FirstParagraph"/>
      </w:pPr>
      <w:r>
        <w:rPr>
          <w:b/>
          <w:bCs/>
        </w:rPr>
        <w:t xml:space="preserve">Arine</w:t>
      </w:r>
      <w:r>
        <w:t xml:space="preserve"> </w:t>
      </w:r>
      <w:r>
        <w:t xml:space="preserve">| Remote | Mar 2025 – Present</w:t>
      </w:r>
    </w:p>
    <w:p>
      <w:pPr>
        <w:pStyle w:val="Compact"/>
        <w:numPr>
          <w:ilvl w:val="0"/>
          <w:numId w:val="1001"/>
        </w:numPr>
      </w:pPr>
      <w:r>
        <w:t xml:space="preserve">Operates the enterprise data platform behind a medication-optimization solution</w:t>
      </w:r>
      <w:r>
        <w:t xml:space="preserve"> </w:t>
      </w:r>
      <w:r>
        <w:rPr>
          <w:b/>
          <w:bCs/>
        </w:rPr>
        <w:t xml:space="preserve">touching 30M+ members across 45+ health plans</w:t>
      </w:r>
      <w:r>
        <w:t xml:space="preserve"> </w:t>
      </w:r>
      <w:r>
        <w:t xml:space="preserve">— the exact payor and provider environments NVIDIA GSI partners sell clinical AI into. (Arine: Inc. 5000 #5 in AI.)</w:t>
      </w:r>
    </w:p>
    <w:p>
      <w:pPr>
        <w:pStyle w:val="Compact"/>
        <w:numPr>
          <w:ilvl w:val="0"/>
          <w:numId w:val="1001"/>
        </w:numPr>
      </w:pPr>
      <w:r>
        <w:t xml:space="preserve">Designed the</w:t>
      </w:r>
      <w:r>
        <w:t xml:space="preserve"> </w:t>
      </w:r>
      <w:r>
        <w:rPr>
          <w:b/>
          <w:bCs/>
        </w:rPr>
        <w:t xml:space="preserve">AI DataOps Toolkit</w:t>
      </w:r>
      <w:r>
        <w:t xml:space="preserve">, an agentic framework of HIPAA-compliant Claude-powered coding assistants including a Data Engineering Agent that autonomously generates, deploys, and tests ETL pipelines and a Dev Environment Agent that eliminated multi-day developer onboarding.</w:t>
      </w:r>
    </w:p>
    <w:p>
      <w:pPr>
        <w:pStyle w:val="Compact"/>
        <w:numPr>
          <w:ilvl w:val="0"/>
          <w:numId w:val="1001"/>
        </w:numPr>
      </w:pPr>
      <w:r>
        <w:t xml:space="preserve">Built the observability pipeline for Arine’s autonomous pharmacist AI agent (DynamoDB → Snowflake → dbt → QuickSight), enabling near-real-time monitoring of agent behavior in production — the same operational muscle GSIs need to prove agentic-AI ROI to hospital CIOs.</w:t>
      </w:r>
    </w:p>
    <w:p>
      <w:pPr>
        <w:pStyle w:val="Compact"/>
        <w:numPr>
          <w:ilvl w:val="0"/>
          <w:numId w:val="1001"/>
        </w:numPr>
      </w:pPr>
      <w:r>
        <w:t xml:space="preserve">Led</w:t>
      </w:r>
      <w:r>
        <w:t xml:space="preserve"> </w:t>
      </w:r>
      <w:r>
        <w:rPr>
          <w:b/>
          <w:bCs/>
        </w:rPr>
        <w:t xml:space="preserve">AI-first development workshops training up to 100 engineers</w:t>
      </w:r>
      <w:r>
        <w:t xml:space="preserve"> </w:t>
      </w:r>
      <w:r>
        <w:t xml:space="preserve">on Claude Code, Cursor, MCP, and production LLM patterns; evangelized internally the way a GSI Lead evangelizes externally.</w:t>
      </w:r>
    </w:p>
    <w:p>
      <w:pPr>
        <w:pStyle w:val="Compact"/>
        <w:numPr>
          <w:ilvl w:val="0"/>
          <w:numId w:val="1001"/>
        </w:numPr>
      </w:pPr>
      <w:r>
        <w:t xml:space="preserve">Engineered high-throughput CDC pipelines from PostgreSQL to Snowflake on serverless, event-driven AWS architecture (Lambda, Step Functions, EventBridge).</w:t>
      </w:r>
    </w:p>
    <w:bookmarkEnd w:id="13"/>
    <w:bookmarkStart w:id="14" w:name="Xe5c078918fc5019c8f328d764648ab961c2d184"/>
    <w:p>
      <w:pPr>
        <w:pStyle w:val="Heading3"/>
      </w:pPr>
      <w:r>
        <w:t xml:space="preserve">Chief AI Architect, Senior Manager — Federal Healthcare AI</w:t>
      </w:r>
    </w:p>
    <w:p>
      <w:pPr>
        <w:pStyle w:val="FirstParagraph"/>
      </w:pPr>
      <w:r>
        <w:rPr>
          <w:b/>
          <w:bCs/>
        </w:rPr>
        <w:t xml:space="preserve">Booz Allen Hamilton</w:t>
      </w:r>
      <w:r>
        <w:t xml:space="preserve"> </w:t>
      </w:r>
      <w:r>
        <w:t xml:space="preserve">| Atlanta, GA | Jul 2024 – Mar 2025</w:t>
      </w:r>
    </w:p>
    <w:p>
      <w:pPr>
        <w:pStyle w:val="Compact"/>
        <w:numPr>
          <w:ilvl w:val="0"/>
          <w:numId w:val="1002"/>
        </w:numPr>
      </w:pPr>
      <w:r>
        <w:t xml:space="preserve">Chief AI Architect within a</w:t>
      </w:r>
      <w:r>
        <w:t xml:space="preserve"> </w:t>
      </w:r>
      <w:r>
        <w:rPr>
          <w:b/>
          <w:bCs/>
        </w:rPr>
        <w:t xml:space="preserve">Fortune 500, $9B+ revenue, 27,000+ employee consulting firm</w:t>
      </w:r>
      <w:r>
        <w:t xml:space="preserve"> </w:t>
      </w:r>
      <w:r>
        <w:t xml:space="preserve">— operating as a senior leader inside one of the federal government’s largest systems integrators, with direct visibility into how large SIs build practice areas, win contracts, and enable engineers on emerging AI platforms.</w:t>
      </w:r>
    </w:p>
    <w:p>
      <w:pPr>
        <w:pStyle w:val="Compact"/>
        <w:numPr>
          <w:ilvl w:val="0"/>
          <w:numId w:val="1002"/>
        </w:numPr>
      </w:pPr>
      <w:r>
        <w:rPr>
          <w:b/>
          <w:bCs/>
        </w:rPr>
        <w:t xml:space="preserve">Drafted foundational AI governance policies and procedures for the FDA’s Center for Devices and Radiological Health (CDRH)</w:t>
      </w:r>
      <w:r>
        <w:t xml:space="preserve"> </w:t>
      </w:r>
      <w:r>
        <w:t xml:space="preserve">in response to President Biden’s Executive Order 14110 on the Safe, Secure, and Trustworthy Development and Use of Artificial Intelligence — the regulatory backbone that now shapes how every medical-device AI system reaches the U.S. market.</w:t>
      </w:r>
    </w:p>
    <w:p>
      <w:pPr>
        <w:pStyle w:val="Compact"/>
        <w:numPr>
          <w:ilvl w:val="0"/>
          <w:numId w:val="1002"/>
        </w:numPr>
      </w:pPr>
      <w:r>
        <w:t xml:space="preserve">Delivered AI and analytics solutions across FedRAMP- and HIPAA-compliant environments for federal health clients including the FDA and CDRH, supporting population health, predictive medicine, and</w:t>
      </w:r>
      <w:r>
        <w:t xml:space="preserve"> </w:t>
      </w:r>
      <w:r>
        <w:rPr>
          <w:b/>
          <w:bCs/>
        </w:rPr>
        <w:t xml:space="preserve">vaccine supply chain analytics</w:t>
      </w:r>
      <w:r>
        <w:t xml:space="preserve">.</w:t>
      </w:r>
    </w:p>
    <w:p>
      <w:pPr>
        <w:pStyle w:val="Compact"/>
        <w:numPr>
          <w:ilvl w:val="0"/>
          <w:numId w:val="1002"/>
        </w:numPr>
      </w:pPr>
      <w:r>
        <w:t xml:space="preserve">Led cross-functional teams of engineers, data scientists, and domain experts in the design and deployment of AI products that harness clinical, behavioral, and genomic data — while mitigating algorithmic bias and privacy risk in regulated deployments.</w:t>
      </w:r>
    </w:p>
    <w:p>
      <w:pPr>
        <w:pStyle w:val="Compact"/>
        <w:numPr>
          <w:ilvl w:val="0"/>
          <w:numId w:val="1002"/>
        </w:numPr>
      </w:pPr>
      <w:r>
        <w:t xml:space="preserve">Partnered with AWS as the cloud provider for federal health workloads, coordinating joint solution design and delivery across a highly matrixed federal-contracting ecosystem.</w:t>
      </w:r>
    </w:p>
    <w:bookmarkEnd w:id="14"/>
    <w:bookmarkStart w:id="15" w:name="X87df646e49235cbf3c6de0dc3ae46a9a3d756e2"/>
    <w:p>
      <w:pPr>
        <w:pStyle w:val="Heading3"/>
      </w:pPr>
      <w:r>
        <w:t xml:space="preserve">Chief AI Officer, Founder — HCLS Consulting GTM Owner</w:t>
      </w:r>
    </w:p>
    <w:p>
      <w:pPr>
        <w:pStyle w:val="FirstParagraph"/>
      </w:pPr>
      <w:r>
        <w:rPr>
          <w:b/>
          <w:bCs/>
        </w:rPr>
        <w:t xml:space="preserve">Hyperbloom</w:t>
      </w:r>
      <w:r>
        <w:t xml:space="preserve"> </w:t>
      </w:r>
      <w:r>
        <w:t xml:space="preserve">| United States | Jan 2020 – Present</w:t>
      </w:r>
    </w:p>
    <w:p>
      <w:pPr>
        <w:pStyle w:val="BodyText"/>
      </w:pPr>
      <w:r>
        <w:rPr>
          <w:i/>
          <w:iCs/>
        </w:rPr>
        <w:t xml:space="preserve">Healthcare, life science, and financial services AI consulting (hyperbloom.ai).</w:t>
      </w:r>
    </w:p>
    <w:p>
      <w:pPr>
        <w:pStyle w:val="Compact"/>
        <w:numPr>
          <w:ilvl w:val="0"/>
          <w:numId w:val="1003"/>
        </w:numPr>
      </w:pPr>
      <w:r>
        <w:rPr>
          <w:b/>
          <w:bCs/>
        </w:rPr>
        <w:t xml:space="preserve">Built the full GTM motion from scratch</w:t>
      </w:r>
      <w:r>
        <w:t xml:space="preserve"> </w:t>
      </w:r>
      <w:r>
        <w:t xml:space="preserve">— ICP definition, messaging, pricing and packaging, partner co-sell strategy, SOW templates, and the full lead-to-close sales cycle — for an AI consulting business serving healthcare and life science customers.</w:t>
      </w:r>
      <w:r>
        <w:t xml:space="preserve"> </w:t>
      </w:r>
      <w:r>
        <w:rPr>
          <w:b/>
          <w:bCs/>
        </w:rPr>
        <w:t xml:space="preserve">Grew to $1.4M ARR from a $40K initial investment</w:t>
      </w:r>
      <w:r>
        <w:t xml:space="preserve">, a ~35x return.</w:t>
      </w:r>
    </w:p>
    <w:p>
      <w:pPr>
        <w:pStyle w:val="Compact"/>
        <w:numPr>
          <w:ilvl w:val="0"/>
          <w:numId w:val="1003"/>
        </w:numPr>
      </w:pPr>
      <w:r>
        <w:t xml:space="preserve">Led teams of sales coordinators, account managers, and solutions architects executing the full sales cycle for joint AI and data solutions. This is the same partner-enablement muscle NVIDIA needs to scale GSI practices.</w:t>
      </w:r>
    </w:p>
    <w:p>
      <w:pPr>
        <w:pStyle w:val="Compact"/>
        <w:numPr>
          <w:ilvl w:val="0"/>
          <w:numId w:val="1003"/>
        </w:numPr>
      </w:pPr>
      <w:r>
        <w:t xml:space="preserve">Partnered with</w:t>
      </w:r>
      <w:r>
        <w:t xml:space="preserve"> </w:t>
      </w:r>
      <w:r>
        <w:rPr>
          <w:b/>
          <w:bCs/>
        </w:rPr>
        <w:t xml:space="preserve">hyperscalers (AWS), boutique consulting firms, and research organizations like the TReNDS Center</w:t>
      </w:r>
      <w:r>
        <w:t xml:space="preserve"> </w:t>
      </w:r>
      <w:r>
        <w:t xml:space="preserve">to source, co-develop, and close deals — the GSI co-innovation pattern applied to a small firm.</w:t>
      </w:r>
    </w:p>
    <w:p>
      <w:pPr>
        <w:pStyle w:val="Compact"/>
        <w:numPr>
          <w:ilvl w:val="0"/>
          <w:numId w:val="1003"/>
        </w:numPr>
      </w:pPr>
      <w:r>
        <w:t xml:space="preserve">Architected</w:t>
      </w:r>
      <w:r>
        <w:t xml:space="preserve"> </w:t>
      </w:r>
      <w:r>
        <w:rPr>
          <w:b/>
          <w:bCs/>
        </w:rPr>
        <w:t xml:space="preserve">disaster recovery and data governance for clinical-trial software supporting 10,000+ research sites across 45 countries</w:t>
      </w:r>
      <w:r>
        <w:t xml:space="preserve"> </w:t>
      </w:r>
      <w:r>
        <w:t xml:space="preserve">(5.5M remote monitoring activities per month), including engagements with clinical-trial platforms such as Florence Healthcare.</w:t>
      </w:r>
    </w:p>
    <w:p>
      <w:pPr>
        <w:pStyle w:val="Compact"/>
        <w:numPr>
          <w:ilvl w:val="0"/>
          <w:numId w:val="1003"/>
        </w:numPr>
      </w:pPr>
      <w:r>
        <w:t xml:space="preserve">Designed a</w:t>
      </w:r>
      <w:r>
        <w:t xml:space="preserve"> </w:t>
      </w:r>
      <w:r>
        <w:rPr>
          <w:b/>
          <w:bCs/>
        </w:rPr>
        <w:t xml:space="preserve">blockchain-based data platform for secure life-science data exchange</w:t>
      </w:r>
      <w:r>
        <w:t xml:space="preserve"> </w:t>
      </w:r>
      <w:r>
        <w:t xml:space="preserve">meeting CCPA, GDPR, and HIPAA requirements, with HL7, CDISC, SDTM, and ADaM interoperability standards — the same standards NVIDIA BioNeMo and Clara customers must conform to.</w:t>
      </w:r>
    </w:p>
    <w:p>
      <w:pPr>
        <w:pStyle w:val="Compact"/>
        <w:numPr>
          <w:ilvl w:val="0"/>
          <w:numId w:val="1003"/>
        </w:numPr>
      </w:pPr>
      <w:r>
        <w:t xml:space="preserve">Architected a</w:t>
      </w:r>
      <w:r>
        <w:t xml:space="preserve"> </w:t>
      </w:r>
      <w:r>
        <w:rPr>
          <w:b/>
          <w:bCs/>
        </w:rPr>
        <w:t xml:space="preserve">production genomics data lake on AWS</w:t>
      </w:r>
      <w:r>
        <w:t xml:space="preserve"> </w:t>
      </w:r>
      <w:r>
        <w:t xml:space="preserve">(S3, Glue, CloudWatch, Parquet) that replaced an on-premises HPC + Jupyter Hub setup, giving a genomics client cost-efficient analytics at scale — the exact kind of workload Parabricks accelerates.</w:t>
      </w:r>
    </w:p>
    <w:bookmarkEnd w:id="15"/>
    <w:bookmarkStart w:id="16" w:name="X0e17e4a3a4bf8b05150505c399d4ed20624fb64"/>
    <w:p>
      <w:pPr>
        <w:pStyle w:val="Heading3"/>
      </w:pPr>
      <w:r>
        <w:t xml:space="preserve">Enterprise AI and ML Solutions Architect — AWS Partner &amp; GSI Co-Sell</w:t>
      </w:r>
    </w:p>
    <w:p>
      <w:pPr>
        <w:pStyle w:val="FirstParagraph"/>
      </w:pPr>
      <w:r>
        <w:rPr>
          <w:b/>
          <w:bCs/>
        </w:rPr>
        <w:t xml:space="preserve">Amazon Web Services</w:t>
      </w:r>
      <w:r>
        <w:t xml:space="preserve"> </w:t>
      </w:r>
      <w:r>
        <w:t xml:space="preserve">| Greater Atlanta Area | Aug 2018 – May 2021</w:t>
      </w:r>
    </w:p>
    <w:p>
      <w:pPr>
        <w:pStyle w:val="Compact"/>
        <w:numPr>
          <w:ilvl w:val="0"/>
          <w:numId w:val="1004"/>
        </w:numPr>
      </w:pPr>
      <w:r>
        <w:t xml:space="preserve">Managed a</w:t>
      </w:r>
      <w:r>
        <w:t xml:space="preserve"> </w:t>
      </w:r>
      <w:r>
        <w:rPr>
          <w:b/>
          <w:bCs/>
        </w:rPr>
        <w:t xml:space="preserve">portfolio of 10+ enterprise accounts</w:t>
      </w:r>
      <w:r>
        <w:t xml:space="preserve"> </w:t>
      </w:r>
      <w:r>
        <w:t xml:space="preserve">including Cox Enterprises, Cox Automotive (Autotrader, Dealer.com, Kelley Blue Book, Manheim, VinSolutions), Equifax, Jostens, NCR, and D3.</w:t>
      </w:r>
      <w:r>
        <w:t xml:space="preserve"> </w:t>
      </w:r>
      <w:r>
        <w:rPr>
          <w:b/>
          <w:bCs/>
        </w:rPr>
        <w:t xml:space="preserve">Co-sold directly with Deloitte and Accenture</w:t>
      </w:r>
      <w:r>
        <w:t xml:space="preserve">, the exact top-tier GSIs NVIDIA is scaling its HCLS motion through.</w:t>
      </w:r>
    </w:p>
    <w:p>
      <w:pPr>
        <w:pStyle w:val="Compact"/>
        <w:numPr>
          <w:ilvl w:val="0"/>
          <w:numId w:val="1004"/>
        </w:numPr>
      </w:pPr>
      <w:r>
        <w:t xml:space="preserve">Engaged nationally as a subject-matter expert in artificial intelligence and machine learning, authoring technical white papers, reference architectures, and executive presentations that drove cloud AI adoption across multiple industries.</w:t>
      </w:r>
    </w:p>
    <w:p>
      <w:pPr>
        <w:pStyle w:val="Compact"/>
        <w:numPr>
          <w:ilvl w:val="0"/>
          <w:numId w:val="1004"/>
        </w:numPr>
      </w:pPr>
      <w:r>
        <w:rPr>
          <w:b/>
          <w:bCs/>
        </w:rPr>
        <w:t xml:space="preserve">Built deep C-suite relationships</w:t>
      </w:r>
      <w:r>
        <w:t xml:space="preserve"> </w:t>
      </w:r>
      <w:r>
        <w:t xml:space="preserve">with executives and other leaders, partnering with them on technical and business strategy including GTM planning, cost management, and technical recruiting — the exact influence-without-authority motion required of an NVIDIA GSI Lead.</w:t>
      </w:r>
    </w:p>
    <w:p>
      <w:pPr>
        <w:pStyle w:val="Compact"/>
        <w:numPr>
          <w:ilvl w:val="0"/>
          <w:numId w:val="1004"/>
        </w:numPr>
      </w:pPr>
      <w:r>
        <w:t xml:space="preserve">Delivered AI/ML architecture guidance on</w:t>
      </w:r>
      <w:r>
        <w:t xml:space="preserve"> </w:t>
      </w:r>
      <w:r>
        <w:rPr>
          <w:b/>
          <w:bCs/>
        </w:rPr>
        <w:t xml:space="preserve">privacy-sensitive financial data</w:t>
      </w:r>
      <w:r>
        <w:t xml:space="preserve"> </w:t>
      </w:r>
      <w:r>
        <w:t xml:space="preserve">engagements (Equifax), applying differential-privacy and data-governance techniques that directly prefigure the concerns of HCLS AI deployments.</w:t>
      </w:r>
    </w:p>
    <w:p>
      <w:pPr>
        <w:pStyle w:val="Compact"/>
        <w:numPr>
          <w:ilvl w:val="0"/>
          <w:numId w:val="1004"/>
        </w:numPr>
      </w:pPr>
      <w:r>
        <w:t xml:space="preserve">Built proof-of-concept solutions, ran benchmarking experiments, and acted as the technical liaison between customers and AWS service teams — the exact GSI enablement pattern NVIDIA runs through its Partner Network (NPN) today.</w:t>
      </w:r>
    </w:p>
    <w:bookmarkEnd w:id="16"/>
    <w:bookmarkStart w:id="17" w:name="principal-ai-architect-founder"/>
    <w:p>
      <w:pPr>
        <w:pStyle w:val="Heading3"/>
      </w:pPr>
      <w:r>
        <w:t xml:space="preserve">Principal AI Architect, Founder</w:t>
      </w:r>
    </w:p>
    <w:p>
      <w:pPr>
        <w:pStyle w:val="FirstParagraph"/>
      </w:pPr>
      <w:r>
        <w:rPr>
          <w:b/>
          <w:bCs/>
        </w:rPr>
        <w:t xml:space="preserve">Modular Earth</w:t>
      </w:r>
      <w:r>
        <w:t xml:space="preserve"> </w:t>
      </w:r>
      <w:r>
        <w:t xml:space="preserve">| Buford, GA | Dec 2022 – Present</w:t>
      </w:r>
    </w:p>
    <w:p>
      <w:pPr>
        <w:pStyle w:val="Compact"/>
        <w:numPr>
          <w:ilvl w:val="0"/>
          <w:numId w:val="1005"/>
        </w:numPr>
      </w:pPr>
      <w:r>
        <w:t xml:space="preserve">Open-source, local-first AI nonprofit building multi-agent applications for career and financial empowerment. Operates daily on</w:t>
      </w:r>
      <w:r>
        <w:t xml:space="preserve"> </w:t>
      </w:r>
      <w:r>
        <w:rPr>
          <w:b/>
          <w:bCs/>
        </w:rPr>
        <w:t xml:space="preserve">NVIDIA RTX 4090 and RTX 5090 workstations</w:t>
      </w:r>
      <w:r>
        <w:t xml:space="preserve"> </w:t>
      </w:r>
      <w:r>
        <w:t xml:space="preserve">using LM Studio, Ollama, and Open WebUI to run and benchmark open-weight models (Mistral, Qwen, Llama, DeepSeek) for agentic workflows — deep hands-on intuition for accelerated-computing TCO, memory footprints, and local-vs-cloud tradeoffs GSIs wrestle with every day.</w:t>
      </w:r>
    </w:p>
    <w:p>
      <w:pPr>
        <w:pStyle w:val="Compact"/>
        <w:numPr>
          <w:ilvl w:val="0"/>
          <w:numId w:val="1005"/>
        </w:numPr>
      </w:pPr>
      <w:r>
        <w:t xml:space="preserve">Designed a 6-stage multi-agent workflow with role-based permissions and structured handoffs using LangChain, n8n, and Neo4j — an architecture directly analogous to the agentic patterns NVIDIA is scaling through the Agent Toolkit and Rheo hospital digital-twin blueprint.</w:t>
      </w:r>
    </w:p>
    <w:p>
      <w:pPr>
        <w:pStyle w:val="Compact"/>
        <w:numPr>
          <w:ilvl w:val="0"/>
          <w:numId w:val="1005"/>
        </w:numPr>
      </w:pPr>
      <w:r>
        <w:t xml:space="preserve">Ships</w:t>
      </w:r>
      <w:r>
        <w:t xml:space="preserve"> </w:t>
      </w:r>
      <w:hyperlink r:id="rId11">
        <w:r>
          <w:rPr>
            <w:rStyle w:val="Hyperlink"/>
          </w:rPr>
          <w:t xml:space="preserve">paulprae.com</w:t>
        </w:r>
      </w:hyperlink>
      <w:r>
        <w:t xml:space="preserve">, a live AI-powered career assistant built on Next.js, the Vercel AI SDK, Claude Opus 4.6, and tool-calling — proof of production agentic-AI delivery outside any employer environment.</w:t>
      </w:r>
    </w:p>
    <w:bookmarkEnd w:id="17"/>
    <w:bookmarkStart w:id="18" w:name="X0d6a78083ed3688a4663190f829ce271e161d2e"/>
    <w:p>
      <w:pPr>
        <w:pStyle w:val="Heading3"/>
      </w:pPr>
      <w:r>
        <w:t xml:space="preserve">Neuroinformatics Data Platform Architect — GPU Infrastructure for Research</w:t>
      </w:r>
    </w:p>
    <w:p>
      <w:pPr>
        <w:pStyle w:val="FirstParagraph"/>
      </w:pPr>
      <w:r>
        <w:rPr>
          <w:b/>
          <w:bCs/>
        </w:rPr>
        <w:t xml:space="preserve">TReNDS Center</w:t>
      </w:r>
      <w:r>
        <w:t xml:space="preserve"> </w:t>
      </w:r>
      <w:r>
        <w:t xml:space="preserve">| Atlanta, GA | Jan 2022 – Sep 2023</w:t>
      </w:r>
    </w:p>
    <w:p>
      <w:pPr>
        <w:pStyle w:val="Compact"/>
        <w:numPr>
          <w:ilvl w:val="0"/>
          <w:numId w:val="1006"/>
        </w:numPr>
      </w:pPr>
      <w:r>
        <w:t xml:space="preserve">Tech lead and architect for</w:t>
      </w:r>
      <w:r>
        <w:t xml:space="preserve"> </w:t>
      </w:r>
      <w:r>
        <w:rPr>
          <w:b/>
          <w:bCs/>
        </w:rPr>
        <w:t xml:space="preserve">COINSTAC</w:t>
      </w:r>
      <w:r>
        <w:t xml:space="preserve">, an open-source platform enabling federated neuroimaging and genomics research across research institutions with</w:t>
      </w:r>
      <w:r>
        <w:t xml:space="preserve"> </w:t>
      </w:r>
      <w:r>
        <w:rPr>
          <w:b/>
          <w:bCs/>
        </w:rPr>
        <w:t xml:space="preserve">differential-privacy protections for Personal Health Information (PHI)</w:t>
      </w:r>
      <w:r>
        <w:t xml:space="preserve">. Published in</w:t>
      </w:r>
      <w:r>
        <w:t xml:space="preserve"> </w:t>
      </w:r>
      <w:r>
        <w:rPr>
          <w:i/>
          <w:iCs/>
        </w:rPr>
        <w:t xml:space="preserve">Frontiers in Neuroinformatics</w:t>
      </w:r>
      <w:r>
        <w:t xml:space="preserve"> </w:t>
      </w:r>
      <w:r>
        <w:t xml:space="preserve">(2023).</w:t>
      </w:r>
    </w:p>
    <w:p>
      <w:pPr>
        <w:pStyle w:val="Compact"/>
        <w:numPr>
          <w:ilvl w:val="0"/>
          <w:numId w:val="1006"/>
        </w:numPr>
      </w:pPr>
      <w:r>
        <w:rPr>
          <w:b/>
          <w:bCs/>
        </w:rPr>
        <w:t xml:space="preserve">Built the GPU-focused compute infrastructure for deep learning workloads</w:t>
      </w:r>
      <w:r>
        <w:t xml:space="preserve">, architecting cloud components on AWS, decoupling the system, and improving use of managed services — a direct analog to the accelerated-computing and MLOps topologies NVIDIA BioNeMo, Parabricks, and MONAI partners deploy.</w:t>
      </w:r>
    </w:p>
    <w:p>
      <w:pPr>
        <w:pStyle w:val="Compact"/>
        <w:numPr>
          <w:ilvl w:val="0"/>
          <w:numId w:val="1006"/>
        </w:numPr>
      </w:pPr>
      <w:r>
        <w:t xml:space="preserve">Supported commercialization through</w:t>
      </w:r>
      <w:r>
        <w:t xml:space="preserve"> </w:t>
      </w:r>
      <w:r>
        <w:rPr>
          <w:b/>
          <w:bCs/>
        </w:rPr>
        <w:t xml:space="preserve">SBIR grant writing, open-source contributor recruitment, and industry partnerships</w:t>
      </w:r>
      <w:r>
        <w:t xml:space="preserve"> </w:t>
      </w:r>
      <w:r>
        <w:t xml:space="preserve">with technology vendors, consulting firms, and research organizations — the same alliance-building motion required of an NVIDIA GSI Lead.</w:t>
      </w:r>
    </w:p>
    <w:p>
      <w:pPr>
        <w:pStyle w:val="Compact"/>
        <w:numPr>
          <w:ilvl w:val="0"/>
          <w:numId w:val="1006"/>
        </w:numPr>
      </w:pPr>
      <w:r>
        <w:t xml:space="preserve">Advised leadership on product roadmap, mission, and vision; acted as Scrum master across a cross-functional scientist/engineer team; authored technical whitepapers and contributed to peer-reviewed translational neuroscience research.</w:t>
      </w:r>
    </w:p>
    <w:bookmarkEnd w:id="18"/>
    <w:bookmarkStart w:id="19" w:name="X0bada896c6b5786a73247c43e588fc3e4770541"/>
    <w:p>
      <w:pPr>
        <w:pStyle w:val="Heading3"/>
      </w:pPr>
      <w:r>
        <w:t xml:space="preserve">Senior AI Engineer — Healthcare Voice Computing</w:t>
      </w:r>
    </w:p>
    <w:p>
      <w:pPr>
        <w:pStyle w:val="FirstParagraph"/>
      </w:pPr>
      <w:r>
        <w:rPr>
          <w:b/>
          <w:bCs/>
        </w:rPr>
        <w:t xml:space="preserve">NeuroLex Labs</w:t>
      </w:r>
      <w:r>
        <w:t xml:space="preserve"> </w:t>
      </w:r>
      <w:r>
        <w:t xml:space="preserve">| Greater Atlanta Area | Jan 2018 – May 2020</w:t>
      </w:r>
    </w:p>
    <w:p>
      <w:pPr>
        <w:pStyle w:val="Compact"/>
        <w:numPr>
          <w:ilvl w:val="0"/>
          <w:numId w:val="1007"/>
        </w:numPr>
      </w:pPr>
      <w:r>
        <w:t xml:space="preserve">Architected automated ML pipelines for voice computing applied to the</w:t>
      </w:r>
      <w:r>
        <w:t xml:space="preserve"> </w:t>
      </w:r>
      <w:r>
        <w:rPr>
          <w:b/>
          <w:bCs/>
        </w:rPr>
        <w:t xml:space="preserve">prediction and prevention of neurodegenerative diseases</w:t>
      </w:r>
      <w:r>
        <w:t xml:space="preserve"> </w:t>
      </w:r>
      <w:r>
        <w:t xml:space="preserve">— a life-sciences AI use case directly adjacent to NVIDIA’s digital-biology and patient-monitoring portfolio.</w:t>
      </w:r>
    </w:p>
    <w:p>
      <w:pPr>
        <w:pStyle w:val="Compact"/>
        <w:numPr>
          <w:ilvl w:val="0"/>
          <w:numId w:val="1007"/>
        </w:numPr>
      </w:pPr>
      <w:r>
        <w:t xml:space="preserve">Drove team-wide TDD adoption with 4 test categories (regression, functional, load, integration); mentored international fellows in the Tribe program for neurodegenerative disease research; evangelized the company and recruited technical team members.</w:t>
      </w:r>
    </w:p>
    <w:bookmarkEnd w:id="19"/>
    <w:bookmarkStart w:id="20" w:name="Xacf32d4269f1f018fd97cbee98963d4aec62886"/>
    <w:p>
      <w:pPr>
        <w:pStyle w:val="Heading3"/>
      </w:pPr>
      <w:r>
        <w:t xml:space="preserve">Advanced Analytics Consultant — Microsoft Ecosystem GSI Work</w:t>
      </w:r>
    </w:p>
    <w:p>
      <w:pPr>
        <w:pStyle w:val="FirstParagraph"/>
      </w:pPr>
      <w:r>
        <w:rPr>
          <w:b/>
          <w:bCs/>
        </w:rPr>
        <w:t xml:space="preserve">Slalom Consulting</w:t>
      </w:r>
      <w:r>
        <w:t xml:space="preserve"> </w:t>
      </w:r>
      <w:r>
        <w:t xml:space="preserve">| Greater Atlanta Area | Jul 2015 – Jan 2018</w:t>
      </w:r>
    </w:p>
    <w:p>
      <w:pPr>
        <w:pStyle w:val="Compact"/>
        <w:numPr>
          <w:ilvl w:val="0"/>
          <w:numId w:val="1008"/>
        </w:numPr>
      </w:pPr>
      <w:r>
        <w:t xml:space="preserve">Delivered</w:t>
      </w:r>
      <w:r>
        <w:t xml:space="preserve"> </w:t>
      </w:r>
      <w:r>
        <w:rPr>
          <w:b/>
          <w:bCs/>
        </w:rPr>
        <w:t xml:space="preserve">7+ client engagements over 2.5 years</w:t>
      </w:r>
      <w:r>
        <w:t xml:space="preserve"> </w:t>
      </w:r>
      <w:r>
        <w:t xml:space="preserve">as a national SME in NLP and machine learning, partnering with Microsoft as the primary tech vendor to take Azure ML, Cortana Intelligence Suite, and Azure Bot Service into production for healthcare, public-sector, and Fortune 100 customers.</w:t>
      </w:r>
      <w:r>
        <w:t xml:space="preserve"> </w:t>
      </w:r>
      <w:r>
        <w:rPr>
          <w:b/>
          <w:bCs/>
        </w:rPr>
        <w:t xml:space="preserve">This is the exact role NVIDIA GSIs play with NVIDIA’s portfolio — Paul has lived it from the consulting side.</w:t>
      </w:r>
    </w:p>
    <w:p>
      <w:pPr>
        <w:pStyle w:val="Compact"/>
        <w:numPr>
          <w:ilvl w:val="0"/>
          <w:numId w:val="1008"/>
        </w:numPr>
      </w:pPr>
      <w:r>
        <w:t xml:space="preserve">Led a</w:t>
      </w:r>
      <w:r>
        <w:t xml:space="preserve"> </w:t>
      </w:r>
      <w:r>
        <w:rPr>
          <w:b/>
          <w:bCs/>
        </w:rPr>
        <w:t xml:space="preserve">$2M+ behavioral-healthcare service-review application</w:t>
      </w:r>
      <w:r>
        <w:t xml:space="preserve"> </w:t>
      </w:r>
      <w:r>
        <w:t xml:space="preserve">for a Georgia health agency (DBHDD) and a</w:t>
      </w:r>
      <w:r>
        <w:t xml:space="preserve"> </w:t>
      </w:r>
      <w:r>
        <w:rPr>
          <w:b/>
          <w:bCs/>
        </w:rPr>
        <w:t xml:space="preserve">statewide demand forecasting system</w:t>
      </w:r>
      <w:r>
        <w:t xml:space="preserve"> </w:t>
      </w:r>
      <w:r>
        <w:t xml:space="preserve">for behavioral-health crisis services across dozens of facilities — the exact operational AI GSIs now sell into payor and provider markets.</w:t>
      </w:r>
    </w:p>
    <w:p>
      <w:pPr>
        <w:pStyle w:val="Compact"/>
        <w:numPr>
          <w:ilvl w:val="0"/>
          <w:numId w:val="1008"/>
        </w:numPr>
      </w:pPr>
      <w:r>
        <w:t xml:space="preserve">Delivered a solution assessment comparing Azure Bot Service to Amazon Lex for a Fortune 100 insurance customer, presenting both architectures to executive sponsors — multi-vendor joint-solutioning in practice.</w:t>
      </w:r>
    </w:p>
    <w:p>
      <w:pPr>
        <w:pStyle w:val="Compact"/>
        <w:numPr>
          <w:ilvl w:val="0"/>
          <w:numId w:val="1008"/>
        </w:numPr>
      </w:pPr>
      <w:r>
        <w:t xml:space="preserve">Grew Slalom’s AI business through workshops, marketing materials, and direct sales-cycle support; known nationally as a domain expert in healthcare, public sector, digital marketing, and AI.</w:t>
      </w:r>
    </w:p>
    <w:bookmarkEnd w:id="20"/>
    <w:bookmarkStart w:id="21" w:name="Xe224c437b3a7c658165b4ce8a3fdba739a1729d"/>
    <w:p>
      <w:pPr>
        <w:pStyle w:val="Heading3"/>
      </w:pPr>
      <w:r>
        <w:t xml:space="preserve">Software Engineer — Partner Marketing Technology at Scale</w:t>
      </w:r>
    </w:p>
    <w:p>
      <w:pPr>
        <w:pStyle w:val="FirstParagraph"/>
      </w:pPr>
      <w:r>
        <w:rPr>
          <w:b/>
          <w:bCs/>
        </w:rPr>
        <w:t xml:space="preserve">Red Ventures</w:t>
      </w:r>
      <w:r>
        <w:t xml:space="preserve"> </w:t>
      </w:r>
      <w:r>
        <w:t xml:space="preserve">| Fort Mill, SC | Mar 2014 – Jul 2015</w:t>
      </w:r>
    </w:p>
    <w:p>
      <w:pPr>
        <w:pStyle w:val="Compact"/>
        <w:numPr>
          <w:ilvl w:val="0"/>
          <w:numId w:val="1009"/>
        </w:numPr>
      </w:pPr>
      <w:r>
        <w:t xml:space="preserve">Engineered full-stack marketing technology across</w:t>
      </w:r>
      <w:r>
        <w:t xml:space="preserve"> </w:t>
      </w:r>
      <w:r>
        <w:rPr>
          <w:b/>
          <w:bCs/>
        </w:rPr>
        <w:t xml:space="preserve">16+ Fortune 500 brand partnerships</w:t>
      </w:r>
      <w:r>
        <w:t xml:space="preserve"> </w:t>
      </w:r>
      <w:r>
        <w:t xml:space="preserve">— DirecTV, Vonage, ADT, Verizon, AT&amp;T, Frontier Communications, CenturyLink, Liberty Mutual, Progressive, The Hartford, Travelers, MetLife, Foremost Insurance Group, and more. Built and maintained the proprietary web framework, CMS, experience-management platform, BI reporting framework, and hundreds of high-traffic consumer sites that powered each partner’s customer acquisition.</w:t>
      </w:r>
    </w:p>
    <w:p>
      <w:pPr>
        <w:pStyle w:val="Compact"/>
        <w:numPr>
          <w:ilvl w:val="0"/>
          <w:numId w:val="1009"/>
        </w:numPr>
      </w:pPr>
      <w:r>
        <w:rPr>
          <w:b/>
          <w:bCs/>
        </w:rPr>
        <w:t xml:space="preserve">First place</w:t>
      </w:r>
      <w:r>
        <w:t xml:space="preserve"> </w:t>
      </w:r>
      <w:r>
        <w:t xml:space="preserve">in the Code category at HACKATHON CLT for a crowdsourced delivery system processing 140M+ rows of purchase data with Apache Spark and map-reduce/k-means.</w:t>
      </w:r>
    </w:p>
    <w:bookmarkEnd w:id="21"/>
    <w:bookmarkStart w:id="22" w:name="X1d702e8449a8d159651487a78a4aa21fedb348f"/>
    <w:p>
      <w:pPr>
        <w:pStyle w:val="Heading3"/>
      </w:pPr>
      <w:r>
        <w:t xml:space="preserve">Senior Support Engineer — Enterprise Microsoft Delivery</w:t>
      </w:r>
    </w:p>
    <w:p>
      <w:pPr>
        <w:pStyle w:val="FirstParagraph"/>
      </w:pPr>
      <w:r>
        <w:rPr>
          <w:b/>
          <w:bCs/>
        </w:rPr>
        <w:t xml:space="preserve">Microsoft</w:t>
      </w:r>
      <w:r>
        <w:t xml:space="preserve"> </w:t>
      </w:r>
      <w:r>
        <w:t xml:space="preserve">| Charlotte, NC | Jul 2012 – Mar 2014</w:t>
      </w:r>
    </w:p>
    <w:p>
      <w:pPr>
        <w:pStyle w:val="Compact"/>
        <w:numPr>
          <w:ilvl w:val="0"/>
          <w:numId w:val="1010"/>
        </w:numPr>
      </w:pPr>
      <w:r>
        <w:t xml:space="preserve">Supported full SDLC for hundreds of mission-critical web applications and server farms across</w:t>
      </w:r>
      <w:r>
        <w:t xml:space="preserve"> </w:t>
      </w:r>
      <w:r>
        <w:rPr>
          <w:b/>
          <w:bCs/>
        </w:rPr>
        <w:t xml:space="preserve">Fortune 100 customers</w:t>
      </w:r>
      <w:r>
        <w:t xml:space="preserve"> </w:t>
      </w:r>
      <w:r>
        <w:t xml:space="preserve">including Chevron, Shell, Walmart, Intel, Disney, Bank of America, BlueCross BlueShield, Lockheed Martin, General Dynamics, AmerisourceBergen, and the Department of Defense. Trusted as a last-resort escalation contact during deployments, migrations, and critical outages.</w:t>
      </w:r>
    </w:p>
    <w:p>
      <w:pPr>
        <w:pStyle w:val="Compact"/>
        <w:numPr>
          <w:ilvl w:val="0"/>
          <w:numId w:val="1010"/>
        </w:numPr>
      </w:pPr>
      <w:r>
        <w:t xml:space="preserve">Partnered with</w:t>
      </w:r>
      <w:r>
        <w:t xml:space="preserve"> </w:t>
      </w:r>
      <w:r>
        <w:rPr>
          <w:b/>
          <w:bCs/>
        </w:rPr>
        <w:t xml:space="preserve">Microsoft’s GSI ecosystem (Deloitte, HP, and others)</w:t>
      </w:r>
      <w:r>
        <w:t xml:space="preserve"> </w:t>
      </w:r>
      <w:r>
        <w:t xml:space="preserve">on Fortune 100 deployments — observing firsthand how tech vendors and large SIs co-engineer solutions in the field.</w:t>
      </w:r>
    </w:p>
    <w:p>
      <w:pPr>
        <w:pStyle w:val="Compact"/>
        <w:numPr>
          <w:ilvl w:val="0"/>
          <w:numId w:val="1010"/>
        </w:numPr>
      </w:pPr>
      <w:r>
        <w:t xml:space="preserve">Graduate of the</w:t>
      </w:r>
      <w:r>
        <w:t xml:space="preserve"> </w:t>
      </w:r>
      <w:r>
        <w:rPr>
          <w:b/>
          <w:bCs/>
        </w:rPr>
        <w:t xml:space="preserve">Microsoft Academy for College Hires (MACH)</w:t>
      </w:r>
      <w:r>
        <w:t xml:space="preserve"> </w:t>
      </w:r>
      <w:r>
        <w:t xml:space="preserve">program; nominated for</w:t>
      </w:r>
      <w:r>
        <w:t xml:space="preserve"> </w:t>
      </w:r>
      <w:r>
        <w:rPr>
          <w:b/>
          <w:bCs/>
        </w:rPr>
        <w:t xml:space="preserve">Global Business Support</w:t>
      </w:r>
      <w:r>
        <w:rPr>
          <w:b/>
          <w:bCs/>
        </w:rPr>
        <w:t xml:space="preserve"> </w:t>
      </w:r>
      <w:r>
        <w:rPr>
          <w:b/>
          <w:bCs/>
        </w:rPr>
        <w:t xml:space="preserve">“Entrepreneur of the Year”</w:t>
      </w:r>
      <w:r>
        <w:rPr>
          <w:b/>
          <w:bCs/>
        </w:rPr>
        <w:t xml:space="preserve"> </w:t>
      </w:r>
      <w:r>
        <w:rPr>
          <w:b/>
          <w:bCs/>
        </w:rPr>
        <w:t xml:space="preserve">(2013)</w:t>
      </w:r>
      <w:r>
        <w:t xml:space="preserve">.</w:t>
      </w:r>
    </w:p>
    <w:p>
      <w:r>
        <w:pict>
          <v:rect style="width:0;height:1.5pt" o:hralign="center" o:hrstd="t" o:hr="t"/>
        </w:pict>
      </w:r>
    </w:p>
    <w:bookmarkEnd w:id="22"/>
    <w:bookmarkEnd w:id="23"/>
    <w:bookmarkStart w:id="24" w:name="education"/>
    <w:p>
      <w:pPr>
        <w:pStyle w:val="Heading2"/>
      </w:pPr>
      <w:r>
        <w:t xml:space="preserve">Education</w:t>
      </w:r>
    </w:p>
    <w:p>
      <w:pPr>
        <w:pStyle w:val="FirstParagraph"/>
      </w:pPr>
      <w:r>
        <w:rPr>
          <w:b/>
          <w:bCs/>
        </w:rPr>
        <w:t xml:space="preserve">University of Georgia</w:t>
      </w:r>
      <w:r>
        <w:t xml:space="preserve"> </w:t>
      </w:r>
      <w:r>
        <w:t xml:space="preserve">— 2008 – 2012</w:t>
      </w:r>
    </w:p>
    <w:p>
      <w:pPr>
        <w:pStyle w:val="Compact"/>
        <w:numPr>
          <w:ilvl w:val="0"/>
          <w:numId w:val="1011"/>
        </w:numPr>
      </w:pPr>
      <w:r>
        <w:t xml:space="preserve">B.S., Computer Science (AI Emphasis)</w:t>
      </w:r>
    </w:p>
    <w:p>
      <w:pPr>
        <w:pStyle w:val="Compact"/>
        <w:numPr>
          <w:ilvl w:val="0"/>
          <w:numId w:val="1011"/>
        </w:numPr>
      </w:pPr>
      <w:r>
        <w:t xml:space="preserve">B.A., Cognitive Science (AI Foundation)</w:t>
      </w:r>
    </w:p>
    <w:p>
      <w:pPr>
        <w:pStyle w:val="Compact"/>
        <w:numPr>
          <w:ilvl w:val="0"/>
          <w:numId w:val="1011"/>
        </w:numPr>
      </w:pPr>
      <w:r>
        <w:rPr>
          <w:i/>
          <w:iCs/>
        </w:rPr>
        <w:t xml:space="preserve">Graduated Cum Laude · Dean’s List · HOPE Scholar</w:t>
      </w:r>
    </w:p>
    <w:p>
      <w:r>
        <w:pict>
          <v:rect style="width:0;height:1.5pt" o:hralign="center" o:hrstd="t" o:hr="t"/>
        </w:pict>
      </w:r>
    </w:p>
    <w:bookmarkEnd w:id="24"/>
    <w:bookmarkStart w:id="25" w:name="technical-skills"/>
    <w:p>
      <w:pPr>
        <w:pStyle w:val="Heading2"/>
      </w:pPr>
      <w:r>
        <w:t xml:space="preserve">Technical Skills</w:t>
      </w:r>
    </w:p>
    <w:p>
      <w:pPr>
        <w:pStyle w:val="FirstParagraph"/>
      </w:pPr>
      <w:r>
        <w:rPr>
          <w:b/>
          <w:bCs/>
        </w:rPr>
        <w:t xml:space="preserve">AI &amp; Machine Learning:</w:t>
      </w:r>
      <w:r>
        <w:t xml:space="preserve"> </w:t>
      </w:r>
      <w:r>
        <w:t xml:space="preserve">Generative AI, Agentic AI, Large Language Models, Multi-Agent Systems, Retrieval-Augmented Generation, Prompt Engineering, MLOps, Natural Language Processing, Predictive Analytics, Differential Privacy, Model Evaluation &amp; Governance</w:t>
      </w:r>
    </w:p>
    <w:p>
      <w:pPr>
        <w:pStyle w:val="BodyText"/>
      </w:pPr>
      <w:r>
        <w:rPr>
          <w:b/>
          <w:bCs/>
        </w:rPr>
        <w:t xml:space="preserve">Accelerated Computing &amp; GPU:</w:t>
      </w:r>
      <w:r>
        <w:t xml:space="preserve"> </w:t>
      </w:r>
      <w:r>
        <w:t xml:space="preserve">NVIDIA RTX 4090 / RTX 5090 local workstations, CUDA-accelerated LLM inference, Ollama, LM Studio, Open WebUI, GPU compute infrastructure for deep learning (TReNDS/COINSTAC), AWS GPU fleets (P/G families), Azure GPU ML, benchmarking and capacity planning for accelerated workloads</w:t>
      </w:r>
    </w:p>
    <w:p>
      <w:pPr>
        <w:pStyle w:val="BodyText"/>
      </w:pPr>
      <w:r>
        <w:rPr>
          <w:b/>
          <w:bCs/>
        </w:rPr>
        <w:t xml:space="preserve">NVIDIA Ecosystem Fluency:</w:t>
      </w:r>
      <w:r>
        <w:t xml:space="preserve"> </w:t>
      </w:r>
      <w:r>
        <w:t xml:space="preserve">Clara, BioNeMo, Parabricks, MONAI, Holoscan, NIM microservices, NeMo, DGX, Blackwell/Hopper architectures, Inception program, NVIDIA Partner Network (NPN)</w:t>
      </w:r>
    </w:p>
    <w:p>
      <w:pPr>
        <w:pStyle w:val="BodyText"/>
      </w:pPr>
      <w:r>
        <w:rPr>
          <w:b/>
          <w:bCs/>
        </w:rPr>
        <w:t xml:space="preserve">Cloud &amp; Infrastructure:</w:t>
      </w:r>
      <w:r>
        <w:t xml:space="preserve"> </w:t>
      </w:r>
      <w:r>
        <w:t xml:space="preserve">AWS (Bedrock, SageMaker, ECS/EKS, Lambda, Step Functions, EventBridge, S3, Glue, CloudWatch, DynamoDB, QuickSight), Azure (Machine Learning, Bot Service, Cognitive Services), Snowflake, Docker, Kubernetes, Serverless, Edge Computing</w:t>
      </w:r>
    </w:p>
    <w:p>
      <w:pPr>
        <w:pStyle w:val="BodyText"/>
      </w:pPr>
      <w:r>
        <w:rPr>
          <w:b/>
          <w:bCs/>
        </w:rPr>
        <w:t xml:space="preserve">Data Engineering:</w:t>
      </w:r>
      <w:r>
        <w:t xml:space="preserve"> </w:t>
      </w:r>
      <w:r>
        <w:t xml:space="preserve">dbt, Apache Kafka, PostgreSQL, SQL Server, MySQL, Neo4j, ETL/CDC Pipelines, Data Lakes (Parquet/S3), Data Governance, HIPAA/GDPR/FedRAMP Compliance, HL7 / CDISC / SDTM / ADaM</w:t>
      </w:r>
    </w:p>
    <w:p>
      <w:pPr>
        <w:pStyle w:val="BodyText"/>
      </w:pPr>
      <w:r>
        <w:rPr>
          <w:b/>
          <w:bCs/>
        </w:rPr>
        <w:t xml:space="preserve">Programming:</w:t>
      </w:r>
      <w:r>
        <w:t xml:space="preserve"> </w:t>
      </w:r>
      <w:r>
        <w:t xml:space="preserve">Python, SQL, TypeScript, JavaScript, Rust, C#, Bash, PowerShell</w:t>
      </w:r>
    </w:p>
    <w:p>
      <w:pPr>
        <w:pStyle w:val="BodyText"/>
      </w:pPr>
      <w:r>
        <w:rPr>
          <w:b/>
          <w:bCs/>
        </w:rPr>
        <w:t xml:space="preserve">AI Tools &amp; Frameworks:</w:t>
      </w:r>
      <w:r>
        <w:t xml:space="preserve"> </w:t>
      </w:r>
      <w:r>
        <w:t xml:space="preserve">Claude Code, Cursor AI, GitHub Copilot, Anthropic SDK, Vercel AI SDK, LangChain, n8n, MCP, Model Evaluation Pipelines</w:t>
      </w:r>
    </w:p>
    <w:p>
      <w:pPr>
        <w:pStyle w:val="BodyText"/>
      </w:pPr>
      <w:r>
        <w:rPr>
          <w:b/>
          <w:bCs/>
        </w:rPr>
        <w:t xml:space="preserve">Partner &amp; GTM Leadership:</w:t>
      </w:r>
      <w:r>
        <w:t xml:space="preserve"> </w:t>
      </w:r>
      <w:r>
        <w:t xml:space="preserve">Joint Solutioning, Co-Sell Motion, GSI/ISV Enablement, Technical White Papers, Reference Architectures, Pre-Sales Engineering, Executive Communication, Cross-Functional Program Leadership, SBIR and Grant-Writing</w:t>
      </w:r>
    </w:p>
    <w:p>
      <w:r>
        <w:pict>
          <v:rect style="width:0;height:1.5pt" o:hralign="center" o:hrstd="t" o:hr="t"/>
        </w:pict>
      </w:r>
    </w:p>
    <w:bookmarkEnd w:id="25"/>
    <w:bookmarkStart w:id="26" w:name="certifications"/>
    <w:p>
      <w:pPr>
        <w:pStyle w:val="Heading2"/>
      </w:pPr>
      <w:r>
        <w:t xml:space="preserve">Certifications</w:t>
      </w:r>
    </w:p>
    <w:p>
      <w:pPr>
        <w:pStyle w:val="Compact"/>
        <w:numPr>
          <w:ilvl w:val="0"/>
          <w:numId w:val="1012"/>
        </w:numPr>
      </w:pPr>
      <w:r>
        <w:rPr>
          <w:b/>
          <w:bCs/>
        </w:rPr>
        <w:t xml:space="preserve">AWS Certified Machine Learning Engineer</w:t>
      </w:r>
      <w:r>
        <w:t xml:space="preserve"> </w:t>
      </w:r>
      <w:r>
        <w:t xml:space="preserve">— Amazon Web Services (Sep 2025)</w:t>
      </w:r>
    </w:p>
    <w:p>
      <w:pPr>
        <w:pStyle w:val="Compact"/>
        <w:numPr>
          <w:ilvl w:val="0"/>
          <w:numId w:val="1012"/>
        </w:numPr>
      </w:pPr>
      <w:r>
        <w:rPr>
          <w:b/>
          <w:bCs/>
        </w:rPr>
        <w:t xml:space="preserve">AWS Certified AI Practitioner</w:t>
      </w:r>
      <w:r>
        <w:t xml:space="preserve"> </w:t>
      </w:r>
      <w:r>
        <w:t xml:space="preserve">— Amazon Web Services (Sep 2025)</w:t>
      </w:r>
    </w:p>
    <w:p>
      <w:pPr>
        <w:pStyle w:val="Compact"/>
        <w:numPr>
          <w:ilvl w:val="0"/>
          <w:numId w:val="1012"/>
        </w:numPr>
      </w:pPr>
      <w:r>
        <w:rPr>
          <w:b/>
          <w:bCs/>
        </w:rPr>
        <w:t xml:space="preserve">AWS Certified Machine Learning – Specialty</w:t>
      </w:r>
      <w:r>
        <w:t xml:space="preserve"> </w:t>
      </w:r>
      <w:r>
        <w:t xml:space="preserve">— Amazon Web Services (Jan 2020)</w:t>
      </w:r>
    </w:p>
    <w:p>
      <w:pPr>
        <w:pStyle w:val="Compact"/>
        <w:numPr>
          <w:ilvl w:val="0"/>
          <w:numId w:val="1012"/>
        </w:numPr>
      </w:pPr>
      <w:r>
        <w:rPr>
          <w:b/>
          <w:bCs/>
        </w:rPr>
        <w:t xml:space="preserve">AWS Certified Solutions Architect</w:t>
      </w:r>
      <w:r>
        <w:t xml:space="preserve"> </w:t>
      </w:r>
      <w:r>
        <w:t xml:space="preserve">— Amazon Web Services (Jul 2018)</w:t>
      </w:r>
    </w:p>
    <w:p>
      <w:pPr>
        <w:pStyle w:val="Compact"/>
        <w:numPr>
          <w:ilvl w:val="0"/>
          <w:numId w:val="1012"/>
        </w:numPr>
      </w:pPr>
      <w:r>
        <w:rPr>
          <w:b/>
          <w:bCs/>
        </w:rPr>
        <w:t xml:space="preserve">Microsoft Academy for College Hires (MACH)</w:t>
      </w:r>
      <w:r>
        <w:t xml:space="preserve"> </w:t>
      </w:r>
      <w:r>
        <w:t xml:space="preserve">— Microsoft (2014)</w:t>
      </w:r>
    </w:p>
    <w:p>
      <w:r>
        <w:pict>
          <v:rect style="width:0;height:1.5pt" o:hralign="center" o:hrstd="t" o:hr="t"/>
        </w:pict>
      </w:r>
    </w:p>
    <w:bookmarkEnd w:id="26"/>
    <w:bookmarkStart w:id="28" w:name="publications"/>
    <w:p>
      <w:pPr>
        <w:pStyle w:val="Heading2"/>
      </w:pPr>
      <w:r>
        <w:t xml:space="preserve">Publications</w:t>
      </w:r>
    </w:p>
    <w:p>
      <w:pPr>
        <w:pStyle w:val="FirstParagraph"/>
      </w:pPr>
      <w:hyperlink r:id="rId27">
        <w:r>
          <w:rPr>
            <w:rStyle w:val="Hyperlink"/>
            <w:b/>
            <w:bCs/>
          </w:rPr>
          <w:t xml:space="preserve">Enhancing Collaborative Neuroimaging Research: COINSTAC Vaults for Federated Analysis</w:t>
        </w:r>
      </w:hyperlink>
      <w:r>
        <w:t xml:space="preserve"> </w:t>
      </w:r>
      <w:r>
        <w:t xml:space="preserve">—</w:t>
      </w:r>
      <w:r>
        <w:t xml:space="preserve"> </w:t>
      </w:r>
      <w:r>
        <w:rPr>
          <w:i/>
          <w:iCs/>
        </w:rPr>
        <w:t xml:space="preserve">Frontiers in Neuroinformatics</w:t>
      </w:r>
      <w:r>
        <w:t xml:space="preserve"> </w:t>
      </w:r>
      <w:r>
        <w:t xml:space="preserve">(June 2023). Peer-reviewed research on federated analysis for collaborative neuroimaging enabling institutions to analyze datasets across sites using differential privacy.</w:t>
      </w:r>
    </w:p>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0" Target="https://github.com/praeducer" TargetMode="External" /><Relationship Type="http://schemas.openxmlformats.org/officeDocument/2006/relationships/hyperlink" Id="rId11" Target="https://paulprae.com" TargetMode="External" /><Relationship Type="http://schemas.openxmlformats.org/officeDocument/2006/relationships/hyperlink" Id="rId27" Target="https://www.frontiersin.org/journals/neuroinformatics/articles/10.3389/fninf.2023.1207721/full" TargetMode="External" /><Relationship Type="http://schemas.openxmlformats.org/officeDocument/2006/relationships/hyperlink" Id="rId9" Target="https://www.linkedin.com/in/paulprae" TargetMode="External" /></Relationships>
</file>

<file path=word/_rels/footnotes.xml.rels><?xml version="1.0" encoding="UTF-8"?><Relationships xmlns="http://schemas.openxmlformats.org/package/2006/relationships"><Relationship Type="http://schemas.openxmlformats.org/officeDocument/2006/relationships/hyperlink" Id="rId10" Target="https://github.com/praeducer" TargetMode="External" /><Relationship Type="http://schemas.openxmlformats.org/officeDocument/2006/relationships/hyperlink" Id="rId11" Target="https://paulprae.com" TargetMode="External" /><Relationship Type="http://schemas.openxmlformats.org/officeDocument/2006/relationships/hyperlink" Id="rId27" Target="https://www.frontiersin.org/journals/neuroinformatics/articles/10.3389/fninf.2023.1207721/full" TargetMode="External" /><Relationship Type="http://schemas.openxmlformats.org/officeDocument/2006/relationships/hyperlink" Id="rId9" Target="https://www.linkedin.com/in/paulpra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2026-04-08T22:18:06Z</dcterms:created>
  <dcterms:modified xsi:type="dcterms:W3CDTF">2026-04-08T22:18:06Z</dcterms:modified>
</cp:coreProperties>
</file>

<file path=docProps/custom.xml><?xml version="1.0" encoding="utf-8"?>
<Properties xmlns="http://schemas.openxmlformats.org/officeDocument/2006/custom-properties" xmlns:vt="http://schemas.openxmlformats.org/officeDocument/2006/docPropsVTypes"/>
</file>