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
    <w:p>
      <w:pPr>
        <w:jc w:val="center"/>
      </w:pPr>
      <w:r>
        <w:rPr>
          <w:b/>
          <w:sz w:val="30"/>
        </w:rPr>
        <w:t xml:space="preserve">[ NAME OF YOUR COLLEGE / UNIVERSITY ]</w:t>
      </w:r>
    </w:p>
    <w:p>
      <w:pPr>
        <w:jc w:val="center"/>
      </w:pPr>
      <w:r>
        <w:rPr>
          <w:b/>
          <w:sz w:val="26"/>
        </w:rPr>
        <w:t xml:space="preserve">DEPARTMENT OF COMPUTER SCIENCE &amp; ENGINEERING</w:t>
      </w:r>
    </w:p>
    <w:p/>
    <w:p/>
    <w:p>
      <w:pPr>
        <w:jc w:val="center"/>
      </w:pPr>
      <w:r>
        <w:rPr>
          <w:sz w:val="26"/>
        </w:rPr>
        <w:t xml:space="preserve">A PROJECT REPORT ON</w:t>
      </w:r>
    </w:p>
    <w:p/>
    <w:p>
      <w:pPr>
        <w:jc w:val="center"/>
      </w:pPr>
      <w:r>
        <w:rPr>
          <w:b/>
          <w:sz w:val="32"/>
          <w:color w:val="1A365D"/>
        </w:rPr>
        <w:t xml:space="preserve">AI-Based Cybercrime Detection and Prevention System</w:t>
      </w:r>
    </w:p>
    <w:p/>
    <w:p/>
    <w:p>
      <w:pPr>
        <w:jc w:val="center"/>
      </w:pPr>
      <w:r>
        <w:rPr>
          <w:sz w:val="22"/>
        </w:rPr>
        <w:t xml:space="preserve">Submitted in partial fulfilment of the requirements for the award of the degree of</w:t>
      </w:r>
    </w:p>
    <w:p>
      <w:pPr>
        <w:jc w:val="center"/>
      </w:pPr>
      <w:r>
        <w:rPr>
          <w:b/>
          <w:sz w:val="22"/>
        </w:rPr>
        <w:t xml:space="preserve">[ Bachelor of Technology in Computer Science &amp; Engineering ]</w:t>
      </w:r>
    </w:p>
    <w:p/>
    <w:p/>
    <w:p>
      <w:pPr>
        <w:jc w:val="center"/>
      </w:pPr>
      <w:r>
        <w:rPr>
          <w:b/>
          <w:sz w:val="24"/>
        </w:rPr>
        <w:t xml:space="preserve">Submitted By:</w:t>
      </w:r>
    </w:p>
    <w:p>
      <w:pPr>
        <w:jc w:val="center"/>
      </w:pPr>
      <w:r>
        <w:rPr>
          <w:sz w:val="24"/>
        </w:rPr>
        <w:t xml:space="preserve">[ Student Name ]  —  [ Roll No. / Enrollment No. ]</w:t>
      </w:r>
    </w:p>
    <w:p/>
    <w:p>
      <w:pPr>
        <w:jc w:val="center"/>
      </w:pPr>
      <w:r>
        <w:rPr>
          <w:b/>
          <w:sz w:val="24"/>
        </w:rPr>
        <w:t xml:space="preserve">Under the Guidance of:</w:t>
      </w:r>
    </w:p>
    <w:p>
      <w:pPr>
        <w:jc w:val="center"/>
      </w:pPr>
      <w:r>
        <w:rPr>
          <w:sz w:val="24"/>
        </w:rPr>
        <w:t xml:space="preserve">[ Guide Name ], [ Designation ]</w:t>
      </w:r>
    </w:p>
    <w:p/>
    <w:p/>
    <w:p>
      <w:pPr>
        <w:jc w:val="center"/>
      </w:pPr>
      <w:r>
        <w:rPr>
          <w:sz w:val="22"/>
        </w:rPr>
        <w:t xml:space="preserve">[ Month, Year ]</w:t>
      </w:r>
    </w:p>
    <w:p>
      <w:r>
        <w:br w:type="page"/>
      </w:r>
    </w:p>
    <w:p>
      <w:pPr>
        <w:keepNext/>
        <w:spacing w:before="320"/>
        <w:rPr>
          <w:b/>
          <w:color w:val="FF0000"/>
          <w:sz w:val="30"/>
        </w:rPr>
      </w:pPr>
      <w:r>
        <w:rPr>
          <w:b/>
          <w:color w:val="FF0000"/>
          <w:sz w:val="30"/>
        </w:rPr>
        <w:t xml:space="preserve">INDEX</w:t>
      </w:r>
    </w:p>
    <w:tbl>
      <w:tblPr>
        <w:tblW w:w="95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13"/>
        <w:gridCol w:w="7724"/>
      </w:tblGrid>
      <w:tr>
        <w:tc>
          <w:tcPr>
            <w:tcW w:w="1813" w:type="dxa"/>
            <w:shd w:val="clear" w:fill="D9D9D9"/>
          </w:tcPr>
          <w:p>
            <w:pPr>
              <w:jc w:val="center"/>
            </w:pPr>
            <w:r>
              <w:rPr>
                <w:b/>
              </w:rPr>
              <w:t xml:space="preserve">Sr. No.</w:t>
            </w:r>
          </w:p>
        </w:tc>
        <w:tc>
          <w:tcPr>
            <w:tcW w:w="7724" w:type="dxa"/>
            <w:shd w:val="clear" w:fill="D9D9D9"/>
          </w:tcPr>
          <w:p>
            <w:pPr>
              <w:jc w:val="center"/>
            </w:pPr>
            <w:r>
              <w:rPr>
                <w:b/>
              </w:rPr>
              <w:t xml:space="preserve">TITLE</w:t>
            </w:r>
          </w:p>
        </w:tc>
      </w:tr>
      <w:tr>
        <w:tc>
          <w:tcPr>
            <w:tcW w:w="1813" w:type="dxa"/>
          </w:tcPr>
          <w:p>
            <w:pPr>
              <w:jc w:val="center"/>
            </w:pPr>
            <w:r>
              <w:rPr/>
              <w:t xml:space="preserve">1</w:t>
            </w:r>
          </w:p>
        </w:tc>
        <w:tc>
          <w:tcPr>
            <w:tcW w:w="7724" w:type="dxa"/>
          </w:tcPr>
          <w:p>
            <w:pPr>
              <w:jc w:val="center"/>
            </w:pPr>
            <w:r>
              <w:rPr/>
              <w:t xml:space="preserve">Research Title &amp; Structural Overview</w:t>
            </w:r>
          </w:p>
        </w:tc>
      </w:tr>
      <w:tr>
        <w:tc>
          <w:tcPr>
            <w:tcW w:w="1813" w:type="dxa"/>
          </w:tcPr>
          <w:p>
            <w:pPr>
              <w:jc w:val="center"/>
            </w:pPr>
            <w:r>
              <w:rPr/>
              <w:t xml:space="preserve">2</w:t>
            </w:r>
          </w:p>
        </w:tc>
        <w:tc>
          <w:tcPr>
            <w:tcW w:w="7724" w:type="dxa"/>
          </w:tcPr>
          <w:p>
            <w:pPr>
              <w:jc w:val="center"/>
            </w:pPr>
            <w:r>
              <w:rPr/>
              <w:t xml:space="preserve">Introduction &amp; Industry Context</w:t>
            </w:r>
          </w:p>
        </w:tc>
      </w:tr>
      <w:tr>
        <w:tc>
          <w:tcPr>
            <w:tcW w:w="1813" w:type="dxa"/>
          </w:tcPr>
          <w:p>
            <w:pPr>
              <w:jc w:val="center"/>
            </w:pPr>
            <w:r>
              <w:rPr/>
              <w:t xml:space="preserve">3</w:t>
            </w:r>
          </w:p>
        </w:tc>
        <w:tc>
          <w:tcPr>
            <w:tcW w:w="7724" w:type="dxa"/>
          </w:tcPr>
          <w:p>
            <w:pPr>
              <w:jc w:val="center"/>
            </w:pPr>
            <w:r>
              <w:rPr/>
              <w:t xml:space="preserve">Background of the Study</w:t>
            </w:r>
          </w:p>
        </w:tc>
      </w:tr>
      <w:tr>
        <w:tc>
          <w:tcPr>
            <w:tcW w:w="1813" w:type="dxa"/>
          </w:tcPr>
          <w:p>
            <w:pPr>
              <w:jc w:val="center"/>
            </w:pPr>
            <w:r>
              <w:rPr/>
              <w:t xml:space="preserve">4</w:t>
            </w:r>
          </w:p>
        </w:tc>
        <w:tc>
          <w:tcPr>
            <w:tcW w:w="7724" w:type="dxa"/>
          </w:tcPr>
          <w:p>
            <w:pPr>
              <w:jc w:val="center"/>
            </w:pPr>
            <w:r>
              <w:rPr/>
              <w:t xml:space="preserve">Statement of the Problem</w:t>
            </w:r>
          </w:p>
        </w:tc>
      </w:tr>
      <w:tr>
        <w:tc>
          <w:tcPr>
            <w:tcW w:w="1813" w:type="dxa"/>
          </w:tcPr>
          <w:p>
            <w:pPr>
              <w:jc w:val="center"/>
            </w:pPr>
            <w:r>
              <w:rPr/>
              <w:t xml:space="preserve">5</w:t>
            </w:r>
          </w:p>
        </w:tc>
        <w:tc>
          <w:tcPr>
            <w:tcW w:w="7724" w:type="dxa"/>
          </w:tcPr>
          <w:p>
            <w:pPr>
              <w:jc w:val="center"/>
            </w:pPr>
            <w:r>
              <w:rPr/>
              <w:t xml:space="preserve">Scope of the Study</w:t>
            </w:r>
          </w:p>
        </w:tc>
      </w:tr>
      <w:tr>
        <w:tc>
          <w:tcPr>
            <w:tcW w:w="1813" w:type="dxa"/>
          </w:tcPr>
          <w:p>
            <w:pPr>
              <w:jc w:val="center"/>
            </w:pPr>
            <w:r>
              <w:rPr/>
              <w:t xml:space="preserve">6</w:t>
            </w:r>
          </w:p>
        </w:tc>
        <w:tc>
          <w:tcPr>
            <w:tcW w:w="7724" w:type="dxa"/>
          </w:tcPr>
          <w:p>
            <w:pPr>
              <w:jc w:val="center"/>
            </w:pPr>
            <w:r>
              <w:rPr/>
              <w:t xml:space="preserve">Significance of the Study</w:t>
            </w:r>
          </w:p>
        </w:tc>
      </w:tr>
      <w:tr>
        <w:tc>
          <w:tcPr>
            <w:tcW w:w="1813" w:type="dxa"/>
          </w:tcPr>
          <w:p>
            <w:pPr>
              <w:jc w:val="center"/>
            </w:pPr>
            <w:r>
              <w:rPr/>
              <w:t xml:space="preserve">7</w:t>
            </w:r>
          </w:p>
        </w:tc>
        <w:tc>
          <w:tcPr>
            <w:tcW w:w="7724" w:type="dxa"/>
          </w:tcPr>
          <w:p>
            <w:pPr>
              <w:jc w:val="center"/>
            </w:pPr>
            <w:r>
              <w:rPr/>
              <w:t xml:space="preserve">Objectives of the Study</w:t>
            </w:r>
          </w:p>
        </w:tc>
      </w:tr>
      <w:tr>
        <w:tc>
          <w:tcPr>
            <w:tcW w:w="1813" w:type="dxa"/>
          </w:tcPr>
          <w:p>
            <w:pPr>
              <w:jc w:val="center"/>
            </w:pPr>
            <w:r>
              <w:rPr/>
              <w:t xml:space="preserve">8</w:t>
            </w:r>
          </w:p>
        </w:tc>
        <w:tc>
          <w:tcPr>
            <w:tcW w:w="7724" w:type="dxa"/>
          </w:tcPr>
          <w:p>
            <w:pPr>
              <w:jc w:val="center"/>
            </w:pPr>
            <w:r>
              <w:rPr/>
              <w:t xml:space="preserve">Research Hypotheses (H1 to H8)</w:t>
            </w:r>
          </w:p>
        </w:tc>
      </w:tr>
      <w:tr>
        <w:tc>
          <w:tcPr>
            <w:tcW w:w="1813" w:type="dxa"/>
          </w:tcPr>
          <w:p>
            <w:pPr>
              <w:jc w:val="center"/>
            </w:pPr>
            <w:r>
              <w:rPr/>
              <w:t xml:space="preserve">9</w:t>
            </w:r>
          </w:p>
        </w:tc>
        <w:tc>
          <w:tcPr>
            <w:tcW w:w="7724" w:type="dxa"/>
          </w:tcPr>
          <w:p>
            <w:pPr>
              <w:jc w:val="center"/>
            </w:pPr>
            <w:r>
              <w:rPr/>
              <w:t xml:space="preserve">Research Methodology &amp; System Architecture</w:t>
            </w:r>
          </w:p>
        </w:tc>
      </w:tr>
      <w:tr>
        <w:tc>
          <w:tcPr>
            <w:tcW w:w="1813" w:type="dxa"/>
          </w:tcPr>
          <w:p>
            <w:pPr>
              <w:jc w:val="center"/>
            </w:pPr>
            <w:r>
              <w:rPr/>
              <w:t xml:space="preserve">9.a</w:t>
            </w:r>
          </w:p>
        </w:tc>
        <w:tc>
          <w:tcPr>
            <w:tcW w:w="7724" w:type="dxa"/>
          </w:tcPr>
          <w:p>
            <w:pPr>
              <w:jc w:val="center"/>
            </w:pPr>
            <w:r>
              <w:rPr/>
              <w:t xml:space="preserve">Research Design &amp; Architectural Flow</w:t>
            </w:r>
          </w:p>
        </w:tc>
      </w:tr>
      <w:tr>
        <w:tc>
          <w:tcPr>
            <w:tcW w:w="1813" w:type="dxa"/>
          </w:tcPr>
          <w:p>
            <w:pPr>
              <w:jc w:val="center"/>
            </w:pPr>
            <w:r>
              <w:rPr/>
              <w:t xml:space="preserve">9.b</w:t>
            </w:r>
          </w:p>
        </w:tc>
        <w:tc>
          <w:tcPr>
            <w:tcW w:w="7724" w:type="dxa"/>
          </w:tcPr>
          <w:p>
            <w:pPr>
              <w:jc w:val="center"/>
            </w:pPr>
            <w:r>
              <w:rPr/>
              <w:t xml:space="preserve">Sampling Strategy &amp; Class Imbalance Handling (SMOTE)</w:t>
            </w:r>
          </w:p>
        </w:tc>
      </w:tr>
      <w:tr>
        <w:tc>
          <w:tcPr>
            <w:tcW w:w="1813" w:type="dxa"/>
          </w:tcPr>
          <w:p>
            <w:pPr>
              <w:jc w:val="center"/>
            </w:pPr>
            <w:r>
              <w:rPr/>
              <w:t xml:space="preserve">9.c</w:t>
            </w:r>
          </w:p>
        </w:tc>
        <w:tc>
          <w:tcPr>
            <w:tcW w:w="7724" w:type="dxa"/>
          </w:tcPr>
          <w:p>
            <w:pPr>
              <w:jc w:val="center"/>
            </w:pPr>
            <w:r>
              <w:rPr/>
              <w:t xml:space="preserve">Sample Size &amp; Empirical Dataset Characteristics</w:t>
            </w:r>
          </w:p>
        </w:tc>
      </w:tr>
      <w:tr>
        <w:tc>
          <w:tcPr>
            <w:tcW w:w="1813" w:type="dxa"/>
          </w:tcPr>
          <w:p>
            <w:pPr>
              <w:jc w:val="center"/>
            </w:pPr>
            <w:r>
              <w:rPr/>
              <w:t xml:space="preserve">9.d</w:t>
            </w:r>
          </w:p>
        </w:tc>
        <w:tc>
          <w:tcPr>
            <w:tcW w:w="7724" w:type="dxa"/>
          </w:tcPr>
          <w:p>
            <w:pPr>
              <w:jc w:val="center"/>
            </w:pPr>
            <w:r>
              <w:rPr/>
              <w:t xml:space="preserve">Data Collection &amp; Feature Extraction Methods</w:t>
            </w:r>
          </w:p>
        </w:tc>
      </w:tr>
      <w:tr>
        <w:tc>
          <w:tcPr>
            <w:tcW w:w="1813" w:type="dxa"/>
          </w:tcPr>
          <w:p>
            <w:pPr>
              <w:jc w:val="center"/>
            </w:pPr>
            <w:r>
              <w:rPr/>
              <w:t xml:space="preserve">9.e</w:t>
            </w:r>
          </w:p>
        </w:tc>
        <w:tc>
          <w:tcPr>
            <w:tcW w:w="7724" w:type="dxa"/>
          </w:tcPr>
          <w:p>
            <w:pPr>
              <w:jc w:val="center"/>
            </w:pPr>
            <w:r>
              <w:rPr/>
              <w:t xml:space="preserve">Data Analysis Techniques &amp; Machine Learning Pipeline</w:t>
            </w:r>
          </w:p>
        </w:tc>
      </w:tr>
      <w:tr>
        <w:tc>
          <w:tcPr>
            <w:tcW w:w="1813" w:type="dxa"/>
          </w:tcPr>
          <w:p>
            <w:pPr>
              <w:jc w:val="center"/>
            </w:pPr>
            <w:r>
              <w:rPr/>
              <w:t xml:space="preserve">10</w:t>
            </w:r>
          </w:p>
        </w:tc>
        <w:tc>
          <w:tcPr>
            <w:tcW w:w="7724" w:type="dxa"/>
          </w:tcPr>
          <w:p>
            <w:pPr>
              <w:jc w:val="center"/>
            </w:pPr>
            <w:r>
              <w:rPr/>
              <w:t xml:space="preserve">Experimental Results &amp; Model Evaluation</w:t>
            </w:r>
          </w:p>
        </w:tc>
      </w:tr>
      <w:tr>
        <w:tc>
          <w:tcPr>
            <w:tcW w:w="1813" w:type="dxa"/>
          </w:tcPr>
          <w:p>
            <w:pPr>
              <w:jc w:val="center"/>
            </w:pPr>
            <w:r>
              <w:rPr/>
              <w:t xml:space="preserve">11</w:t>
            </w:r>
          </w:p>
        </w:tc>
        <w:tc>
          <w:tcPr>
            <w:tcW w:w="7724" w:type="dxa"/>
          </w:tcPr>
          <w:p>
            <w:pPr>
              <w:jc w:val="center"/>
            </w:pPr>
            <w:r>
              <w:rPr/>
              <w:t xml:space="preserve">Limitations of the Study</w:t>
            </w:r>
          </w:p>
        </w:tc>
      </w:tr>
      <w:tr>
        <w:tc>
          <w:tcPr>
            <w:tcW w:w="1813" w:type="dxa"/>
          </w:tcPr>
          <w:p>
            <w:pPr>
              <w:jc w:val="center"/>
            </w:pPr>
            <w:r>
              <w:rPr/>
              <w:t xml:space="preserve">12</w:t>
            </w:r>
          </w:p>
        </w:tc>
        <w:tc>
          <w:tcPr>
            <w:tcW w:w="7724" w:type="dxa"/>
          </w:tcPr>
          <w:p>
            <w:pPr>
              <w:jc w:val="center"/>
            </w:pPr>
            <w:r>
              <w:rPr/>
              <w:t xml:space="preserve">Scheme of the Chapters</w:t>
            </w:r>
          </w:p>
        </w:tc>
      </w:tr>
      <w:tr>
        <w:tc>
          <w:tcPr>
            <w:tcW w:w="1813" w:type="dxa"/>
          </w:tcPr>
          <w:p>
            <w:pPr>
              <w:jc w:val="center"/>
            </w:pPr>
            <w:r>
              <w:rPr/>
              <w:t xml:space="preserve">13</w:t>
            </w:r>
          </w:p>
        </w:tc>
        <w:tc>
          <w:tcPr>
            <w:tcW w:w="7724" w:type="dxa"/>
          </w:tcPr>
          <w:p>
            <w:pPr>
              <w:jc w:val="center"/>
            </w:pPr>
            <w:r>
              <w:rPr/>
              <w:t xml:space="preserve">Scholarly Bibliography &amp; References</w:t>
            </w:r>
          </w:p>
        </w:tc>
      </w:tr>
    </w:tbl>
    <w:p/>
    <w:p>
      <w:r>
        <w:br w:type="page"/>
      </w:r>
    </w:p>
    <w:p>
      <w:pPr>
        <w:keepNext/>
        <w:spacing w:before="320"/>
        <w:rPr>
          <w:b/>
          <w:color w:val="FF0000"/>
          <w:sz w:val="30"/>
        </w:rPr>
      </w:pPr>
      <w:r>
        <w:rPr>
          <w:b/>
          <w:color w:val="FF0000"/>
          <w:sz w:val="30"/>
        </w:rPr>
        <w:t xml:space="preserve">1. RESEARCH TITLE</w:t>
      </w:r>
    </w:p>
    <w:p>
      <w:r>
        <w:rPr>
          <w:b/>
        </w:rPr>
        <w:t xml:space="preserve">Official Research Title: </w:t>
      </w:r>
      <w:r>
        <w:t xml:space="preserve">AI-Based Cybercrime Detection and Prevention System: An Integrated Machine Learning and Deep Learning Framework for Real-Time Network Intrusion Detection, Phishing Identification, Malware Classification, and Automated Threat Response.</w:t>
      </w:r>
    </w:p>
    <w:p>
      <w:r>
        <w:t xml:space="preserve">This project focuses on the design, algorithmic development, and real-time deployment of an integrated cybercrime detection and automated prevention platform built using Python's machine learning and deep learning ecosystem. The system unifies network intrusion detection, phishing URL/email classification, and malware behaviour classification under a single decision-and-response architecture. It resolves severe class imbalance through synthetic resampling and cost-sensitive learning, benchmarks classical and deep ensemble models, and couples explainable AI with automated mitigation actions to meet operational Security Operations Centre (SOC) and regulatory requirements.</w:t>
      </w:r>
    </w:p>
    <w:p>
      <w:pPr>
        <w:keepNext/>
        <w:spacing w:before="320"/>
        <w:rPr>
          <w:b/>
          <w:color w:val="FF0000"/>
          <w:sz w:val="30"/>
        </w:rPr>
      </w:pPr>
      <w:r>
        <w:rPr>
          <w:b/>
          <w:color w:val="FF0000"/>
          <w:sz w:val="30"/>
        </w:rPr>
        <w:t xml:space="preserve">2. INTRODUCTION</w:t>
      </w:r>
    </w:p>
    <w:p>
      <w:r>
        <w:t xml:space="preserve">In the modern digital economy, enterprise networks, cloud workloads, Internet-of-Things (IoT) devices, and remote-work endpoints generate massive volumes of traffic, email, and file-exchange activity every second. While this digital expansion offers unprecedented connectivity, productivity, and operational efficiency, it has concurrently exposed individuals, enterprises, and critical infrastructure to sophisticated cybercrime: ransomware, phishing campaigns, distributed denial-of-service (DDoS) attacks, credential-stuffing, and advanced persistent threats (APTs). Global annual losses attributable to cybercrime are projected to exceed $10.5 trillion by 2025, eroding consumer trust and placing unsustainable pressure on security operations teams.</w:t>
      </w:r>
    </w:p>
    <w:p>
      <w:r>
        <w:t xml:space="preserve">Historically, enterprise cyber-defence has depended heavily on static, signature-based detection engines such as rule-driven firewalls, Snort/Suricata intrusion detection rules, and antivirus signature databases. These systems flag threats using hard-coded conditional patterns—such as blocking traffic from known-malicious IP ranges or matching byte-level malware signatures. However, modern cybercrime syndicates deploy polymorphic malware, encrypted command-and-control channels, domain generation algorithms, and social-engineering-driven phishing kits that intentionally evade static thresholds and signature matching. As a result, signature-based systems suffer from an unsustainable volume of false negatives against novel (zero-day) threats, while simultaneously overwhelming analysts with false positives on benign anomalies.</w:t>
      </w:r>
    </w:p>
    <w:p>
      <w:r>
        <w:t xml:space="preserve">To overcome these systemic bottlenecks, Machine Learning (ML) and Deep Learning (DL), coupled with the Python scientific ecosystem, have emerged as the global standard for proactive, adaptive cyber-defence. Python provides high-performance, mature libraries including NumPy, Pandas, Scikit-Learn, Imbalanced-Learn, XGBoost, LightGBM, TensorFlow/PyTorch, and SHAP. These frameworks enable security data scientists to ingest massive network-flow and log streams, engineer high-dimensional behavioural features, and model complex non-linear attack patterns that escape static filters. By combining supervised ensemble learners, sequence models, and unsupervised anomaly detectors, modern security platforms can evaluate threat probabilities in real time (sub-100ms latency) and trigger automated preventive action while preserving uninterrupted access for legitimate users.</w:t>
      </w:r>
    </w:p>
    <w:p>
      <w:pPr>
        <w:keepNext/>
        <w:spacing w:before="240" w:after="80"/>
        <w:rPr>
          <w:color w:val="FF0000"/>
        </w:rPr>
      </w:pPr>
      <w:r>
        <w:rPr>
          <w:b/>
          <w:color w:val="FF0000"/>
          <w:sz w:val="25"/>
        </w:rPr>
        <w:t xml:space="preserve">Benchmark Cyber-Threat Indicators</w:t>
      </w:r>
    </w:p>
    <w:p>
      <w:pPr>
        <w:pStyle w:val="ListBullet"/>
        <w:spacing w:after="80" w:line="288" w:lineRule="auto"/>
      </w:pPr>
      <w:r>
        <w:t xml:space="preserve">Global Cost of Cybercrime: projected to exceed $10.5 trillion annually by 2025 (Cybersecurity Ventures).</w:t>
      </w:r>
    </w:p>
    <w:p>
      <w:pPr>
        <w:pStyle w:val="ListBullet"/>
        <w:spacing w:after="80" w:line="288" w:lineRule="auto"/>
      </w:pPr>
      <w:r>
        <w:t xml:space="preserve">Attack Frequency: a ransomware attack is estimated to occur every 11 seconds worldwide.</w:t>
      </w:r>
    </w:p>
    <w:p>
      <w:pPr>
        <w:pStyle w:val="ListBullet"/>
        <w:spacing w:after="80" w:line="288" w:lineRule="auto"/>
      </w:pPr>
      <w:r>
        <w:t xml:space="preserve">Typical Attack Prevalence (Base Rate): malicious flows often constitute under 1–2% of production network traffic, creating extreme class imbalance.</w:t>
      </w:r>
    </w:p>
    <w:p>
      <w:pPr>
        <w:pStyle w:val="ListBullet"/>
        <w:spacing w:after="80" w:line="288" w:lineRule="auto"/>
      </w:pPr>
      <w:r>
        <w:t xml:space="preserve">Target Primary Metric: Area Under the Precision-Recall Curve (PR-AUC) ≥ 0.90, prioritising high Recall at a constrained False Positive Rate (FPR ≤ 0.5%).</w:t>
      </w:r>
    </w:p>
    <w:p>
      <w:pPr>
        <w:pStyle w:val="ListBullet"/>
        <w:spacing w:after="80" w:line="288" w:lineRule="auto"/>
      </w:pPr>
      <w:r>
        <w:t xml:space="preserve">Target Operational SLA: sub-100 millisecond detection-to-decision latency for inline automated prevention.</w:t>
      </w:r>
    </w:p>
    <w:p>
      <w:pPr>
        <w:pStyle w:val="ListBullet"/>
        <w:spacing w:after="80" w:line="288" w:lineRule="auto"/>
      </w:pPr>
      <w:r>
        <w:t xml:space="preserve">Mean Time to Detect (Industry Average): approximately 204 days for undiscovered breaches (IBM Cost of a Data Breach Report).</w:t>
      </w:r>
    </w:p>
    <w:p>
      <w:pPr>
        <w:keepNext/>
        <w:spacing w:before="320"/>
        <w:rPr>
          <w:b/>
          <w:color w:val="FF0000"/>
          <w:sz w:val="30"/>
        </w:rPr>
      </w:pPr>
      <w:r>
        <w:rPr>
          <w:b/>
          <w:color w:val="FF0000"/>
          <w:sz w:val="30"/>
        </w:rPr>
        <w:t xml:space="preserve">3. BACKGROUND OF THE STUDY</w:t>
      </w:r>
    </w:p>
    <w:p>
      <w:r>
        <w:t xml:space="preserve">The architecture of enterprise network security has transformed radically over the past two decades. The expansion of cloud computing, Bring-Your-Own-Device (BYOD) policies, IoT ecosystems, and hybrid remote-work infrastructures has dissolved the traditional network perimeter, compelling security teams to monitor and score traffic dynamically rather than relying on a single fortified boundary.</w:t>
      </w:r>
    </w:p>
    <w:p>
      <w:r>
        <w:t xml:space="preserve">Early cyber-defence systems relied on manual, post-incident forensic log review conducted by security analysts days or weeks after a breach occurred. While viable in low-volume environments, exponential growth in network traffic and endpoint telemetry rendered manual review impossible to sustain. The subsequent adoption of signature-based Intrusion Detection/Prevention Systems (IDS/IPS) and antivirus engines provided automation but suffered from brittleness, high false-negative rates against novel attacks, and inability to adapt to evolving attacker tradecraft.</w:t>
      </w:r>
    </w:p>
    <w:p>
      <w:r>
        <w:t xml:space="preserve">The introduction of statistical machine learning and, more recently, deep learning paradigms has revolutionised cyber-threat mitigation. Unlike deterministic signature engines, probabilistic and neural classifiers learn complex multidimensional decision boundaries directly from historical network, email, and file-behaviour logs. In recent years, Python has established itself as the premier language for security data science due to its comprehensive machine learning stack, open-source community, and production-ready microservice frameworks such as FastAPI.</w:t>
      </w:r>
    </w:p>
    <w:p>
      <w:pPr>
        <w:keepNext/>
        <w:spacing w:before="240" w:after="80"/>
        <w:rPr>
          <w:color w:val="FF0000"/>
        </w:rPr>
      </w:pPr>
      <w:r>
        <w:rPr>
          <w:b/>
          <w:color w:val="FF0000"/>
          <w:sz w:val="25"/>
        </w:rPr>
        <w:t xml:space="preserve">Evolutionary Milestones in Cyber-Defence Architectures</w:t>
      </w:r>
    </w:p>
    <w:p>
      <w:pPr>
        <w:pStyle w:val="ListBullet"/>
        <w:spacing w:after="80" w:line="288" w:lineRule="auto"/>
      </w:pPr>
      <w:r>
        <w:rPr>
          <w:b/>
        </w:rPr>
        <w:t xml:space="preserve">Phase 1: Manual Log Auditing (Pre-2000s): </w:t>
      </w:r>
      <w:r>
        <w:t xml:space="preserve">Security teams manually reviewed firewall, server, and access logs after an incident was reported, resulting in detection and containment lags of weeks and zero preventative capability.</w:t>
      </w:r>
    </w:p>
    <w:p>
      <w:pPr>
        <w:pStyle w:val="ListBullet"/>
        <w:spacing w:after="80" w:line="288" w:lineRule="auto"/>
      </w:pPr>
      <w:r>
        <w:rPr>
          <w:b/>
        </w:rPr>
        <w:t xml:space="preserve">Phase 2: Signature &amp; Rule-Based IDS/Antivirus (2000s – 2010s): </w:t>
      </w:r>
      <w:r>
        <w:t xml:space="preserve">Deployment of Snort, Suricata, and antivirus signature databases using hard-coded conditional rules. Effective against known threats but blind to zero-day exploits and polymorphic malware, leading to high false-negative rates.</w:t>
      </w:r>
    </w:p>
    <w:p>
      <w:pPr>
        <w:pStyle w:val="ListBullet"/>
        <w:spacing w:after="80" w:line="288" w:lineRule="auto"/>
      </w:pPr>
      <w:r>
        <w:rPr>
          <w:b/>
        </w:rPr>
        <w:t xml:space="preserve">Phase 3: Classical Machine Learning Baselines (2010s – 2018): </w:t>
      </w:r>
      <w:r>
        <w:t xml:space="preserve">Adoption of Naive Bayes, Support Vector Machines, and Decision Trees on benchmark datasets such as KDD'99 and NSL-KDD. Captured statistical anomalies but struggled with severe class imbalance and high-dimensional encrypted traffic features.</w:t>
      </w:r>
    </w:p>
    <w:p>
      <w:pPr>
        <w:pStyle w:val="ListBullet"/>
        <w:spacing w:after="80" w:line="288" w:lineRule="auto"/>
      </w:pPr>
      <w:r>
        <w:rPr>
          <w:b/>
        </w:rPr>
        <w:t xml:space="preserve">Phase 4: Modern Ensembles, Deep Learning &amp; Automated Response (2018 – Present): </w:t>
      </w:r>
      <w:r>
        <w:t xml:space="preserve">Integration of gradient-boosted decision trees (XGBoost, LightGBM), LSTM/CNN sequence models, autoencoder-based anomaly detection, SHAP-driven interpretability, and SOAR-integrated automated prevention (firewall rule injection, endpoint isolation) operating at sub-100ms latencies.</w:t>
      </w:r>
    </w:p>
    <w:p>
      <w:pPr>
        <w:keepNext/>
        <w:spacing w:before="320"/>
        <w:rPr>
          <w:b/>
          <w:color w:val="FF0000"/>
          <w:sz w:val="30"/>
        </w:rPr>
      </w:pPr>
      <w:r>
        <w:rPr>
          <w:b/>
          <w:color w:val="FF0000"/>
          <w:sz w:val="30"/>
        </w:rPr>
        <w:t xml:space="preserve">4. STATEMENT OF THE PROBLEM</w:t>
      </w:r>
    </w:p>
    <w:p>
      <w:r>
        <w:t xml:space="preserve">Despite firewalls, antivirus software, multi-factor authentication (MFA), and employee security awareness training, cybercrime remains an existential threat to organisations of every size. In production network environments, legitimate traffic accounts for the overwhelming majority of aggregate flows, while actual malicious activity frequently comprises well under 1–2% of total events. Conventional machine learning algorithms designed to minimise empirical error rates can achieve apparent accuracy above 99% simply by classifying every event as benign. Such naive models are practically worthless, yielding an unacceptably high false-negative rate on genuine attacks.</w:t>
      </w:r>
    </w:p>
    <w:p>
      <w:r>
        <w:t xml:space="preserve">Furthermore, cybercrime exhibits continuous adversarial concept drift. Once defensive systems detect and restrict a specific attack topology—such as a particular phishing-kit signature or malware family—threat actors pivot to alternate methods, including polymorphic payload mutation, domain generation algorithms, encrypted command-and-control channels, and living-off-the-land techniques that abuse legitimate system tools. Static models deteriorate rapidly without continuous feedback mechanisms and adaptive retraining pipelines.</w:t>
      </w:r>
    </w:p>
    <w:p>
      <w:pPr>
        <w:keepNext/>
        <w:spacing w:before="240" w:after="80"/>
        <w:rPr>
          <w:color w:val="FF0000"/>
        </w:rPr>
      </w:pPr>
      <w:r>
        <w:rPr>
          <w:b/>
          <w:color w:val="FF0000"/>
          <w:sz w:val="25"/>
        </w:rPr>
        <w:t xml:space="preserve">Core Architectural and Technical Challenges Addressed</w:t>
      </w:r>
    </w:p>
    <w:p>
      <w:pPr>
        <w:pStyle w:val="ListBullet"/>
        <w:spacing w:after="80" w:line="288" w:lineRule="auto"/>
      </w:pPr>
      <w:r>
        <w:rPr>
          <w:b/>
        </w:rPr>
        <w:t xml:space="preserve">1. Extreme Class Imbalance: </w:t>
      </w:r>
      <w:r>
        <w:t xml:space="preserve">Malicious events frequently account for less than 1–2% of total network/email/file events, causing severe majority-class bias and failure of standard loss functions.</w:t>
      </w:r>
    </w:p>
    <w:p>
      <w:pPr>
        <w:pStyle w:val="ListBullet"/>
        <w:spacing w:after="80" w:line="288" w:lineRule="auto"/>
      </w:pPr>
      <w:r>
        <w:rPr>
          <w:b/>
        </w:rPr>
        <w:t xml:space="preserve">2. Zero-Day &amp; Adversarial Evasion: </w:t>
      </w:r>
      <w:r>
        <w:t xml:space="preserve">Novel attack patterns, polymorphic malware, and adversarially perturbed inputs can bypass static signatures and even previously trained classifiers.</w:t>
      </w:r>
    </w:p>
    <w:p>
      <w:pPr>
        <w:pStyle w:val="ListBullet"/>
        <w:spacing w:after="80" w:line="288" w:lineRule="auto"/>
      </w:pPr>
      <w:r>
        <w:rPr>
          <w:b/>
        </w:rPr>
        <w:t xml:space="preserve">3. Strict Low-Latency Requirements: </w:t>
      </w:r>
      <w:r>
        <w:t xml:space="preserve">Inline prevention actions, such as dropping a connection or quarantining a session, must be decided within milliseconds to avoid degrading legitimate network throughput.</w:t>
      </w:r>
    </w:p>
    <w:p>
      <w:pPr>
        <w:pStyle w:val="ListBullet"/>
        <w:spacing w:after="80" w:line="288" w:lineRule="auto"/>
      </w:pPr>
      <w:r>
        <w:rPr>
          <w:b/>
        </w:rPr>
        <w:t xml:space="preserve">4. Black-Box Interpretability Barriers: </w:t>
      </w:r>
      <w:r>
        <w:t xml:space="preserve">Regulatory frameworks and internal audit requirements demand justifiable, auditable rationales for automated blocking decisions. Opaque ensemble or neural models require post-hoc explainability engines to satisfy this scrutiny.</w:t>
      </w:r>
    </w:p>
    <w:p>
      <w:pPr>
        <w:pStyle w:val="ListBullet"/>
        <w:spacing w:after="80" w:line="288" w:lineRule="auto"/>
      </w:pPr>
      <w:r>
        <w:rPr>
          <w:b/>
        </w:rPr>
        <w:t xml:space="preserve">5. Automated Response Risk: </w:t>
      </w:r>
      <w:r>
        <w:t xml:space="preserve">An incorrect autonomous blocking action can disrupt legitimate users or business-critical traffic, demanding very high precision before any unsupervised preventive action is triggered.</w:t>
      </w:r>
    </w:p>
    <w:p>
      <w:pPr>
        <w:keepNext/>
        <w:spacing w:before="320"/>
        <w:rPr>
          <w:b/>
          <w:color w:val="FF0000"/>
          <w:sz w:val="30"/>
        </w:rPr>
      </w:pPr>
      <w:r>
        <w:rPr>
          <w:b/>
          <w:color w:val="FF0000"/>
          <w:sz w:val="30"/>
        </w:rPr>
        <w:t xml:space="preserve">5. SCOPE OF THE STUDY</w:t>
      </w:r>
    </w:p>
    <w:p>
      <w:r>
        <w:t xml:space="preserve">This study encompasses the technical design, algorithmic implementation, and empirical validation of an end-to-end Python-based cybercrime detection and automated prevention pipeline. The defined boundaries and dimensions of this research include:</w:t>
      </w:r>
    </w:p>
    <w:p>
      <w:pPr>
        <w:pStyle w:val="ListBullet"/>
        <w:spacing w:after="80" w:line="288" w:lineRule="auto"/>
      </w:pPr>
      <w:r>
        <w:rPr>
          <w:b/>
        </w:rPr>
        <w:t xml:space="preserve">1. End-to-End Pipeline Engineering: </w:t>
      </w:r>
      <w:r>
        <w:t xml:space="preserve">Developing modular Python code spanning data ingestion, outlier-robust scaling, feature transformation, model training, cross-validation, and production serialisation across three threat modalities: network flows, phishing URLs/emails, and malware samples.</w:t>
      </w:r>
    </w:p>
    <w:p>
      <w:pPr>
        <w:pStyle w:val="ListBullet"/>
        <w:spacing w:after="80" w:line="288" w:lineRule="auto"/>
      </w:pPr>
      <w:r>
        <w:rPr>
          <w:b/>
        </w:rPr>
        <w:t xml:space="preserve">2. Imbalance Mitigation Benchmarking: </w:t>
      </w:r>
      <w:r>
        <w:t xml:space="preserve">Systematically evaluating and comparing the Synthetic Minority Over-sampling Technique (SMOTE), Borderline-SMOTE, SMOTE-ENN, and cost-sensitive loss weighting across multiple classifiers.</w:t>
      </w:r>
    </w:p>
    <w:p>
      <w:pPr>
        <w:pStyle w:val="ListBullet"/>
        <w:spacing w:after="80" w:line="288" w:lineRule="auto"/>
      </w:pPr>
      <w:r>
        <w:rPr>
          <w:b/>
        </w:rPr>
        <w:t xml:space="preserve">3. Multi-Paradigm Classifier Comparison: </w:t>
      </w:r>
      <w:r>
        <w:t xml:space="preserve">Evaluating supervised linear baselines (Logistic Regression), supervised bagging/boosting ensembles (Random Forest, XGBoost, LightGBM), sequence-based deep learning (LSTM), and unsupervised anomaly detectors (Isolation Forest).</w:t>
      </w:r>
    </w:p>
    <w:p>
      <w:pPr>
        <w:pStyle w:val="ListBullet"/>
        <w:spacing w:after="80" w:line="288" w:lineRule="auto"/>
      </w:pPr>
      <w:r>
        <w:rPr>
          <w:b/>
        </w:rPr>
        <w:t xml:space="preserve">4. Domain Feature Engineering: </w:t>
      </w:r>
      <w:r>
        <w:t xml:space="preserve">Synthesising network-flow statistical features, URL lexical/host-based features, and malware static/dynamic API-call-sequence features.</w:t>
      </w:r>
    </w:p>
    <w:p>
      <w:pPr>
        <w:pStyle w:val="ListBullet"/>
        <w:spacing w:after="80" w:line="288" w:lineRule="auto"/>
      </w:pPr>
      <w:r>
        <w:rPr>
          <w:b/>
        </w:rPr>
        <w:t xml:space="preserve">5. Non-Biased Evaluation Metrics: </w:t>
      </w:r>
      <w:r>
        <w:t xml:space="preserve">Rejecting misleading overall accuracy in favour of Area Under the Precision-Recall Curve (PR-AUC), F1-Score, and Recall at a constrained False Positive Rate (FPR ≤ 0.5%).</w:t>
      </w:r>
    </w:p>
    <w:p>
      <w:pPr>
        <w:pStyle w:val="ListBullet"/>
        <w:spacing w:after="80" w:line="288" w:lineRule="auto"/>
      </w:pPr>
      <w:r>
        <w:rPr>
          <w:b/>
        </w:rPr>
        <w:t xml:space="preserve">6. Explainable AI (XAI) Integration: </w:t>
      </w:r>
      <w:r>
        <w:t xml:space="preserve">Integrating SHAP (SHapley Additive exPlanations) using TreeSHAP to generate both global feature-importance profiles and individual-alert risk-attribution vectors for SOC analysts.</w:t>
      </w:r>
    </w:p>
    <w:p>
      <w:pPr>
        <w:pStyle w:val="ListBullet"/>
        <w:spacing w:after="80" w:line="288" w:lineRule="auto"/>
      </w:pPr>
      <w:r>
        <w:rPr>
          <w:b/>
        </w:rPr>
        <w:t xml:space="preserve">7. Automated Prevention &amp; Real-Time Microservice Prototyping: </w:t>
      </w:r>
      <w:r>
        <w:t xml:space="preserve">Deploying a lightweight RESTful inference endpoint using Python FastAPI and Uvicorn, integrated with a rule-based response engine (IP blocklisting, session termination, SOC alert generation), benchmarked under simulated concurrent traffic.</w:t>
      </w:r>
    </w:p>
    <w:p>
      <w:pPr>
        <w:keepNext/>
        <w:spacing w:before="320"/>
        <w:rPr>
          <w:b/>
          <w:color w:val="FF0000"/>
          <w:sz w:val="30"/>
        </w:rPr>
      </w:pPr>
      <w:r>
        <w:rPr>
          <w:b/>
          <w:color w:val="FF0000"/>
          <w:sz w:val="30"/>
        </w:rPr>
        <w:t xml:space="preserve">6. SIGNIFICANCE OF THE STUDY</w:t>
      </w:r>
    </w:p>
    <w:p>
      <w:r>
        <w:t xml:space="preserve">The findings and architectural deliverables of this study offer direct practical and academic significance across enterprise security operations, network administration, regulatory compliance, and data science methodology:</w:t>
      </w:r>
    </w:p>
    <w:p>
      <w:pPr>
        <w:pStyle w:val="ListBullet"/>
        <w:spacing w:after="80" w:line="288" w:lineRule="auto"/>
      </w:pPr>
      <w:r>
        <w:rPr>
          <w:b/>
        </w:rPr>
        <w:t xml:space="preserve">1. Substantial False-Alarm Reduction: </w:t>
      </w:r>
      <w:r>
        <w:t xml:space="preserve">By optimising classification thresholds on Precision-Recall curves rather than arbitrary 0.5 cutoffs, security teams can meaningfully reduce false positives, lowering analyst alert fatigue and preserving legitimate user access.</w:t>
      </w:r>
    </w:p>
    <w:p>
      <w:pPr>
        <w:pStyle w:val="ListBullet"/>
        <w:spacing w:after="80" w:line="288" w:lineRule="auto"/>
      </w:pPr>
      <w:r>
        <w:rPr>
          <w:b/>
        </w:rPr>
        <w:t xml:space="preserve">2. Proactive Defence Against Sophisticated Threats: </w:t>
      </w:r>
      <w:r>
        <w:t xml:space="preserve">Advanced ensemble and sequence models capture non-linear multidimensional correlations that circumvent static rules, proactively intercepting novel phishing kits, fileless malware, and distributed intrusion attempts.</w:t>
      </w:r>
    </w:p>
    <w:p>
      <w:pPr>
        <w:pStyle w:val="ListBullet"/>
        <w:spacing w:after="80" w:line="288" w:lineRule="auto"/>
      </w:pPr>
      <w:r>
        <w:rPr>
          <w:b/>
        </w:rPr>
        <w:t xml:space="preserve">3. Regulatory Auditing &amp; Compliance Readiness: </w:t>
      </w:r>
      <w:r>
        <w:t xml:space="preserve">Integrating instance-level SHAP explainability provides an auditable, human-interpretable rationale for every automated blocking action, supporting accountability requirements under frameworks such as the IT Act and GDPR-style regulations.</w:t>
      </w:r>
    </w:p>
    <w:p>
      <w:pPr>
        <w:pStyle w:val="ListBullet"/>
        <w:spacing w:after="80" w:line="288" w:lineRule="auto"/>
      </w:pPr>
      <w:r>
        <w:rPr>
          <w:b/>
        </w:rPr>
        <w:t xml:space="preserve">4. Cost-Effective Open-Source Security Blueprint: </w:t>
      </w:r>
      <w:r>
        <w:t xml:space="preserve">Proprietary enterprise SIEM/XDR platforms entail prohibitive licensing and infrastructure fees. This study provides a transparent, customisable Python framework using open-source libraries that educational institutions, startups, and resource-constrained SOCs can deploy cost-effectively.</w:t>
      </w:r>
    </w:p>
    <w:p>
      <w:pPr>
        <w:pStyle w:val="ListBullet"/>
        <w:spacing w:after="80" w:line="288" w:lineRule="auto"/>
      </w:pPr>
      <w:r>
        <w:rPr>
          <w:b/>
        </w:rPr>
        <w:t xml:space="preserve">5. Methodological Template for Imbalanced Threat Detection: </w:t>
      </w:r>
      <w:r>
        <w:t xml:space="preserve">The rigorous evaluation protocols, cross-validation standards, and synthetic resampling workflows developed herein establish a reproducible template applicable to adjacent domains, such as fraud detection, spam filtering, and insider-threat monitoring.</w:t>
      </w:r>
    </w:p>
    <w:p>
      <w:pPr>
        <w:keepNext/>
        <w:spacing w:before="320"/>
        <w:rPr>
          <w:b/>
          <w:color w:val="FF0000"/>
          <w:sz w:val="30"/>
        </w:rPr>
      </w:pPr>
      <w:r>
        <w:rPr>
          <w:b/>
          <w:color w:val="FF0000"/>
          <w:sz w:val="30"/>
        </w:rPr>
        <w:t xml:space="preserve">7. OBJECTIVES OF THE STUDY</w:t>
      </w:r>
    </w:p>
    <w:p>
      <w:r>
        <w:t xml:space="preserve">The primary objective of this research is to construct, evaluate, and benchmark a high-throughput, low-latency, and interpretable Python-based machine learning framework for automated cybercrime detection and prevention. The specific objectives guiding this investigation are:</w:t>
      </w:r>
    </w:p>
    <w:p>
      <w:pPr>
        <w:pStyle w:val="ListBullet"/>
        <w:spacing w:after="80" w:line="288" w:lineRule="auto"/>
      </w:pPr>
      <w:r>
        <w:rPr>
          <w:b/>
        </w:rPr>
        <w:t xml:space="preserve">1. Pipeline Development: </w:t>
      </w:r>
      <w:r>
        <w:t xml:space="preserve">To formulate an automated data ingestion and preprocessing pipeline in Python capable of handling network-flow statistics, URL text, and malware feature vectors with missing-value imputation and outlier-robust scaling.</w:t>
      </w:r>
    </w:p>
    <w:p>
      <w:pPr>
        <w:pStyle w:val="ListBullet"/>
        <w:spacing w:after="80" w:line="288" w:lineRule="auto"/>
      </w:pPr>
      <w:r>
        <w:rPr>
          <w:b/>
        </w:rPr>
        <w:t xml:space="preserve">2. Imbalance Resolution: </w:t>
      </w:r>
      <w:r>
        <w:t xml:space="preserve">To empirically evaluate the efficacy of the Synthetic Minority Over-sampling Technique (SMOTE) and algorithmic cost-weighting in overcoming extreme class imbalance in malicious-event prevalence.</w:t>
      </w:r>
    </w:p>
    <w:p>
      <w:pPr>
        <w:pStyle w:val="ListBullet"/>
        <w:spacing w:after="80" w:line="288" w:lineRule="auto"/>
      </w:pPr>
      <w:r>
        <w:rPr>
          <w:b/>
        </w:rPr>
        <w:t xml:space="preserve">3. Classifier Benchmarking: </w:t>
      </w:r>
      <w:r>
        <w:t xml:space="preserve">To systematically train, cross-validate, and optimise multiple classification models—including Logistic Regression, Random Forest, XGBoost, LightGBM, LSTM, and Isolation Forest—using 5-fold Stratified Cross-Validation.</w:t>
      </w:r>
    </w:p>
    <w:p>
      <w:pPr>
        <w:pStyle w:val="ListBullet"/>
        <w:spacing w:after="80" w:line="288" w:lineRule="auto"/>
      </w:pPr>
      <w:r>
        <w:rPr>
          <w:b/>
        </w:rPr>
        <w:t xml:space="preserve">4. Decision Threshold Calibration: </w:t>
      </w:r>
      <w:r>
        <w:t xml:space="preserve">To analyse Precision-Recall tradeoffs and establish an optimal classification threshold that maximises malicious-class Recall while keeping the False Positive Rate strictly below 0.5%.</w:t>
      </w:r>
    </w:p>
    <w:p>
      <w:pPr>
        <w:pStyle w:val="ListBullet"/>
        <w:spacing w:after="80" w:line="288" w:lineRule="auto"/>
      </w:pPr>
      <w:r>
        <w:rPr>
          <w:b/>
        </w:rPr>
        <w:t xml:space="preserve">5. Model Explainability Integration: </w:t>
      </w:r>
      <w:r>
        <w:t xml:space="preserve">To implement SHAP (SHapley Additive exPlanations) for both global model feature attribution and real-time alert-level risk decomposition for SOC compliance auditing.</w:t>
      </w:r>
    </w:p>
    <w:p>
      <w:pPr>
        <w:pStyle w:val="ListBullet"/>
        <w:spacing w:after="80" w:line="288" w:lineRule="auto"/>
      </w:pPr>
      <w:r>
        <w:rPr>
          <w:b/>
        </w:rPr>
        <w:t xml:space="preserve">6. Automated Prevention Module Development: </w:t>
      </w:r>
      <w:r>
        <w:t xml:space="preserve">To design a rule-based, ML-triggered response engine capable of IP blocklisting, session termination, and endpoint quarantine recommendation.</w:t>
      </w:r>
    </w:p>
    <w:p>
      <w:pPr>
        <w:pStyle w:val="ListBullet"/>
        <w:spacing w:after="80" w:line="288" w:lineRule="auto"/>
      </w:pPr>
      <w:r>
        <w:rPr>
          <w:b/>
        </w:rPr>
        <w:t xml:space="preserve">7. Production Microservice Validation: </w:t>
      </w:r>
      <w:r>
        <w:t xml:space="preserve">To build and load-test an asynchronous REST API microservice using Python FastAPI, demonstrating sub-100ms inference latency per event under concurrent traffic loads.</w:t>
      </w:r>
    </w:p>
    <w:p>
      <w:pPr>
        <w:keepNext/>
        <w:spacing w:before="320"/>
        <w:rPr>
          <w:b/>
          <w:color w:val="FF0000"/>
          <w:sz w:val="30"/>
        </w:rPr>
      </w:pPr>
      <w:r>
        <w:rPr>
          <w:b/>
          <w:color w:val="FF0000"/>
          <w:sz w:val="30"/>
        </w:rPr>
        <w:t xml:space="preserve">8. RESEARCH HYPOTHESES</w:t>
      </w:r>
    </w:p>
    <w:p>
      <w:r>
        <w:t xml:space="preserve">To assess the effectiveness of the proposed Python-based cybercrime detection and prevention architecture, eight formal hypotheses have been formulated:</w:t>
      </w:r>
    </w:p>
    <w:p>
      <w:pPr>
        <w:pStyle w:val="ListBullet"/>
        <w:spacing w:after="80" w:line="288" w:lineRule="auto"/>
      </w:pPr>
      <w:r>
        <w:rPr>
          <w:b/>
        </w:rPr>
        <w:t xml:space="preserve">H1 (Imbalance Mitigation Efficacy): </w:t>
      </w:r>
      <w:r>
        <w:t xml:space="preserve">Synthetic resampling techniques (SMOTE / SMOTE-ENN) and cost-sensitive loss adjustments will yield statistically significant improvements in malicious-class Recall and PR-AUC compared to baseline models trained on raw, unadjusted imbalanced data.</w:t>
      </w:r>
    </w:p>
    <w:p>
      <w:pPr>
        <w:pStyle w:val="ListBullet"/>
        <w:spacing w:after="80" w:line="288" w:lineRule="auto"/>
      </w:pPr>
      <w:r>
        <w:rPr>
          <w:b/>
        </w:rPr>
        <w:t xml:space="preserve">H2 (Ensemble &amp; Deep Learning Superiority): </w:t>
      </w:r>
      <w:r>
        <w:t xml:space="preserve">Gradient-boosted decision tree architectures (XGBoost and LightGBM) and LSTM-based sequence models will achieve superior PR-AUC and F1-Scores compared to standard linear classifiers (Logistic Regression) and basic bagging ensembles (Random Forest).</w:t>
      </w:r>
    </w:p>
    <w:p>
      <w:pPr>
        <w:pStyle w:val="ListBullet"/>
        <w:spacing w:after="80" w:line="288" w:lineRule="auto"/>
      </w:pPr>
      <w:r>
        <w:rPr>
          <w:b/>
        </w:rPr>
        <w:t xml:space="preserve">H3 (Low-Latency Operational Feasibility): </w:t>
      </w:r>
      <w:r>
        <w:t xml:space="preserve">A serialised Python ensemble pipeline served via asynchronous ASGI frameworks (FastAPI + Uvicorn) can consistently process real-time feature transformation and prediction within an end-to-end latency budget of under 100 milliseconds per event.</w:t>
      </w:r>
    </w:p>
    <w:p>
      <w:pPr>
        <w:pStyle w:val="ListBullet"/>
        <w:spacing w:after="80" w:line="288" w:lineRule="auto"/>
      </w:pPr>
      <w:r>
        <w:rPr>
          <w:b/>
        </w:rPr>
        <w:t xml:space="preserve">H4 (Explainability Preservation): </w:t>
      </w:r>
      <w:r>
        <w:t xml:space="preserve">Integrating TreeSHAP approximations within the decision engine produces consistent, mathematically rigorous local feature attributions without increasing computational latency beyond practical auditing thresholds.</w:t>
      </w:r>
    </w:p>
    <w:p>
      <w:pPr>
        <w:pStyle w:val="ListBullet"/>
        <w:spacing w:after="80" w:line="288" w:lineRule="auto"/>
      </w:pPr>
      <w:r>
        <w:rPr>
          <w:b/>
        </w:rPr>
        <w:t xml:space="preserve">H5 (Threshold Calibration Impact): </w:t>
      </w:r>
      <w:r>
        <w:t xml:space="preserve">Optimising the decision probability threshold using the Precision-Recall curve will yield significantly higher malicious-event capture rates at constrained operational False Positive Rates (FPR ≤ 0.5%) compared to default 0.5 probability thresholds.</w:t>
      </w:r>
    </w:p>
    <w:p>
      <w:pPr>
        <w:pStyle w:val="ListBullet"/>
        <w:spacing w:after="80" w:line="288" w:lineRule="auto"/>
      </w:pPr>
      <w:r>
        <w:rPr>
          <w:b/>
        </w:rPr>
        <w:t xml:space="preserve">H6 (Robust Scaling Resilience): </w:t>
      </w:r>
      <w:r>
        <w:t xml:space="preserve">RobustScaler, which relies on median and interquartile range (IQR), will produce higher model stability and lower validation variance compared to standard StandardScaler when handling heavy-tailed network byte/packet count features.</w:t>
      </w:r>
    </w:p>
    <w:p>
      <w:pPr>
        <w:pStyle w:val="ListBullet"/>
        <w:spacing w:after="80" w:line="288" w:lineRule="auto"/>
      </w:pPr>
      <w:r>
        <w:rPr>
          <w:b/>
        </w:rPr>
        <w:t xml:space="preserve">H7 (Unsupervised Complementarity): </w:t>
      </w:r>
      <w:r>
        <w:t xml:space="preserve">An unsupervised Isolation Forest/Autoencoder anomaly score, incorporated as an engineered meta-feature, will improve the discriminative power of supervised ensemble learners on newly emerging (zero-day) attack vectors.</w:t>
      </w:r>
    </w:p>
    <w:p>
      <w:pPr>
        <w:pStyle w:val="ListBullet"/>
        <w:spacing w:after="80" w:line="288" w:lineRule="auto"/>
      </w:pPr>
      <w:r>
        <w:rPr>
          <w:b/>
        </w:rPr>
        <w:t xml:space="preserve">H8 (Scalability Across High-Volume Streams): </w:t>
      </w:r>
      <w:r>
        <w:t xml:space="preserve">The Python-based asynchronous inference architecture will maintain stable memory consumption and near-linear CPU scaling under simulated concurrent streaming loads of up to 5,000 events per second.</w:t>
      </w:r>
    </w:p>
    <w:p>
      <w:pPr>
        <w:keepNext/>
        <w:spacing w:before="320"/>
        <w:rPr>
          <w:b/>
          <w:color w:val="FF0000"/>
          <w:sz w:val="30"/>
        </w:rPr>
      </w:pPr>
      <w:r>
        <w:rPr>
          <w:b/>
          <w:color w:val="FF0000"/>
          <w:sz w:val="30"/>
        </w:rPr>
        <w:t xml:space="preserve">9. RESEARCH METHODOLOGY &amp; SYSTEM ARCHITECTURE</w:t>
      </w:r>
    </w:p>
    <w:p>
      <w:r>
        <w:t xml:space="preserve">This study employs an empirical, quantitative, and experimental computer science research design. The methodology follows an end-to-end modular pipeline that ingests raw network, URL, and file-behaviour streams, performs outlier-resilient preprocessing, resolves class distribution asymmetries, executes hyperparameter-optimised classification, calibrates risk thresholds, and delivers real-time explainable inference coupled with automated preventive action via production APIs.</w:t>
      </w:r>
    </w:p>
    <w:p>
      <w:pPr>
        <w:keepNext/>
        <w:spacing w:before="240" w:after="80"/>
        <w:rPr>
          <w:color w:val="FF0000"/>
        </w:rPr>
      </w:pPr>
      <w:r>
        <w:rPr>
          <w:b/>
          <w:color w:val="FF0000"/>
          <w:sz w:val="25"/>
        </w:rPr>
        <w:t xml:space="preserve">System Architecture: End-to-End Modular Pipeline</w:t>
      </w:r>
    </w:p>
    <w:p>
      <w:r>
        <w:t xml:space="preserve">The proposed cybercrime detection and prevention framework is structured into five sequential layers:</w:t>
      </w:r>
    </w:p>
    <w:tbl>
      <w:tblPr>
        <w:tblW w:w="95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00"/>
        <w:gridCol w:w="2600"/>
        <w:gridCol w:w="5737"/>
      </w:tblGrid>
      <w:tr>
        <w:tc>
          <w:tcPr>
            <w:tcW w:w="1200" w:type="dxa"/>
            <w:shd w:val="clear" w:fill="D9D9D9"/>
          </w:tcPr>
          <w:p>
            <w:pPr>
              <w:jc w:val="center"/>
            </w:pPr>
            <w:r>
              <w:rPr>
                <w:b/>
              </w:rPr>
              <w:t xml:space="preserve">Stage</w:t>
            </w:r>
          </w:p>
        </w:tc>
        <w:tc>
          <w:tcPr>
            <w:tcW w:w="2600" w:type="dxa"/>
            <w:shd w:val="clear" w:fill="D9D9D9"/>
          </w:tcPr>
          <w:p>
            <w:pPr>
              <w:jc w:val="center"/>
            </w:pPr>
            <w:r>
              <w:rPr>
                <w:b/>
              </w:rPr>
              <w:t xml:space="preserve">Architectural Module</w:t>
            </w:r>
          </w:p>
        </w:tc>
        <w:tc>
          <w:tcPr>
            <w:tcW w:w="5737" w:type="dxa"/>
            <w:shd w:val="clear" w:fill="D9D9D9"/>
          </w:tcPr>
          <w:p>
            <w:pPr>
              <w:jc w:val="center"/>
            </w:pPr>
            <w:r>
              <w:rPr>
                <w:b/>
              </w:rPr>
              <w:t xml:space="preserve">Functional Description</w:t>
            </w:r>
          </w:p>
        </w:tc>
      </w:tr>
      <w:tr>
        <w:tc>
          <w:tcPr>
            <w:tcW w:w="1200" w:type="dxa"/>
          </w:tcPr>
          <w:p>
            <w:pPr>
              <w:jc w:val="center"/>
            </w:pPr>
            <w:r>
              <w:rPr/>
              <w:t xml:space="preserve">Stage 1</w:t>
            </w:r>
          </w:p>
        </w:tc>
        <w:tc>
          <w:tcPr>
            <w:tcW w:w="2600" w:type="dxa"/>
          </w:tcPr>
          <w:p>
            <w:pPr>
              <w:jc w:val="center"/>
            </w:pPr>
            <w:r>
              <w:rPr/>
              <w:t xml:space="preserve">Data Ingestion Layer</w:t>
            </w:r>
          </w:p>
        </w:tc>
        <w:tc>
          <w:tcPr>
            <w:tcW w:w="5737" w:type="dxa"/>
          </w:tcPr>
          <w:p>
            <w:pPr>
              <w:jc w:val="center"/>
            </w:pPr>
            <w:r>
              <w:rPr/>
              <w:t xml:space="preserve">Ingests live/batch network-flow records (NetFlow/Zeek logs), phishing URL &amp; email feeds, and malware sample metadata via Kafka streaming and Pandas connectors.</w:t>
            </w:r>
          </w:p>
        </w:tc>
      </w:tr>
      <w:tr>
        <w:tc>
          <w:tcPr>
            <w:tcW w:w="1200" w:type="dxa"/>
          </w:tcPr>
          <w:p>
            <w:pPr>
              <w:jc w:val="center"/>
            </w:pPr>
            <w:r>
              <w:rPr/>
              <w:t xml:space="preserve">Stage 2</w:t>
            </w:r>
          </w:p>
        </w:tc>
        <w:tc>
          <w:tcPr>
            <w:tcW w:w="2600" w:type="dxa"/>
          </w:tcPr>
          <w:p>
            <w:pPr>
              <w:jc w:val="center"/>
            </w:pPr>
            <w:r>
              <w:rPr/>
              <w:t xml:space="preserve">Preprocessing &amp; Resampling</w:t>
            </w:r>
          </w:p>
        </w:tc>
        <w:tc>
          <w:tcPr>
            <w:tcW w:w="5737" w:type="dxa"/>
          </w:tcPr>
          <w:p>
            <w:pPr>
              <w:jc w:val="center"/>
            </w:pPr>
            <w:r>
              <w:rPr/>
              <w:t xml:space="preserve">Applies RobustScaler to flow byte/packet counts, lexical tokenisation to URLs, and API-sequence encoding to malware traces; applies SMOTE exclusively to training partitions.</w:t>
            </w:r>
          </w:p>
        </w:tc>
      </w:tr>
      <w:tr>
        <w:tc>
          <w:tcPr>
            <w:tcW w:w="1200" w:type="dxa"/>
          </w:tcPr>
          <w:p>
            <w:pPr>
              <w:jc w:val="center"/>
            </w:pPr>
            <w:r>
              <w:rPr/>
              <w:t xml:space="preserve">Stage 3</w:t>
            </w:r>
          </w:p>
        </w:tc>
        <w:tc>
          <w:tcPr>
            <w:tcW w:w="2600" w:type="dxa"/>
          </w:tcPr>
          <w:p>
            <w:pPr>
              <w:jc w:val="center"/>
            </w:pPr>
            <w:r>
              <w:rPr/>
              <w:t xml:space="preserve">AI Detection Engine</w:t>
            </w:r>
          </w:p>
        </w:tc>
        <w:tc>
          <w:tcPr>
            <w:tcW w:w="5737" w:type="dxa"/>
          </w:tcPr>
          <w:p>
            <w:pPr>
              <w:jc w:val="center"/>
            </w:pPr>
            <w:r>
              <w:rPr/>
              <w:t xml:space="preserve">Trains and cross-validates Logistic Regression, Random Forest, XGBoost, LightGBM, an LSTM sequence classifier, and Isolation Forest, with hyperparameter tuning.</w:t>
            </w:r>
          </w:p>
        </w:tc>
      </w:tr>
      <w:tr>
        <w:tc>
          <w:tcPr>
            <w:tcW w:w="1200" w:type="dxa"/>
          </w:tcPr>
          <w:p>
            <w:pPr>
              <w:jc w:val="center"/>
            </w:pPr>
            <w:r>
              <w:rPr/>
              <w:t xml:space="preserve">Stage 4</w:t>
            </w:r>
          </w:p>
        </w:tc>
        <w:tc>
          <w:tcPr>
            <w:tcW w:w="2600" w:type="dxa"/>
          </w:tcPr>
          <w:p>
            <w:pPr>
              <w:jc w:val="center"/>
            </w:pPr>
            <w:r>
              <w:rPr/>
              <w:t xml:space="preserve">Decision &amp; Threshold Engine</w:t>
            </w:r>
          </w:p>
        </w:tc>
        <w:tc>
          <w:tcPr>
            <w:tcW w:w="5737" w:type="dxa"/>
          </w:tcPr>
          <w:p>
            <w:pPr>
              <w:jc w:val="center"/>
            </w:pPr>
            <w:r>
              <w:rPr/>
              <w:t xml:space="preserve">Computes calibrated threat-probability scores, applies optimal decision thresholds, and routes events into Allow, Flag-for-Review, or Auto-Block tiers.</w:t>
            </w:r>
          </w:p>
        </w:tc>
      </w:tr>
      <w:tr>
        <w:tc>
          <w:tcPr>
            <w:tcW w:w="1200" w:type="dxa"/>
          </w:tcPr>
          <w:p>
            <w:pPr>
              <w:jc w:val="center"/>
            </w:pPr>
            <w:r>
              <w:rPr/>
              <w:t xml:space="preserve">Stage 5</w:t>
            </w:r>
          </w:p>
        </w:tc>
        <w:tc>
          <w:tcPr>
            <w:tcW w:w="2600" w:type="dxa"/>
          </w:tcPr>
          <w:p>
            <w:pPr>
              <w:jc w:val="center"/>
            </w:pPr>
            <w:r>
              <w:rPr/>
              <w:t xml:space="preserve">Prevention &amp; XAI Layer</w:t>
            </w:r>
          </w:p>
        </w:tc>
        <w:tc>
          <w:tcPr>
            <w:tcW w:w="5737" w:type="dxa"/>
          </w:tcPr>
          <w:p>
            <w:pPr>
              <w:jc w:val="center"/>
            </w:pPr>
            <w:r>
              <w:rPr/>
              <w:t xml:space="preserve">Serves serialised models via an asynchronous FastAPI microservice, triggers automated response actions (IP blocklisting, session termination, SOC alerting), and returns SHAP feature attributions in sub-100ms.</w:t>
            </w:r>
          </w:p>
        </w:tc>
      </w:tr>
    </w:tbl>
    <w:p/>
    <w:p>
      <w:pPr>
        <w:keepNext/>
        <w:spacing w:before="240" w:after="80"/>
        <w:rPr>
          <w:color w:val="FF0000"/>
        </w:rPr>
      </w:pPr>
      <w:r>
        <w:rPr>
          <w:b/>
          <w:color w:val="FF0000"/>
          <w:sz w:val="25"/>
        </w:rPr>
        <w:t xml:space="preserve">9.a Research Design &amp; Architectural Flow</w:t>
      </w:r>
    </w:p>
    <w:p>
      <w:r>
        <w:t xml:space="preserve">To avoid common pitfalls in machine learning research—such as data snooping and data leakage—the experimental workflow enforces strict methodological safeguards. The entire dataset is split into training (80%) and hold-out testing (20%) sets using Stratified ShuffleSplit to preserve the exact malicious-class prevalence across splits. Preprocessing statistics (such as median and IQR for RobustScaler) and synthetic resampling (SMOTE) are fitted exclusively on training partitions and applied downstream to test partitions, preventing optimistic performance bias.</w:t>
      </w:r>
    </w:p>
    <w:p>
      <w:pPr>
        <w:keepNext/>
        <w:spacing w:before="240" w:after="80"/>
        <w:rPr>
          <w:color w:val="FF0000"/>
        </w:rPr>
      </w:pPr>
      <w:r>
        <w:rPr>
          <w:b/>
          <w:color w:val="FF0000"/>
          <w:sz w:val="25"/>
        </w:rPr>
        <w:t xml:space="preserve">9.b Sampling Strategy &amp; Class Imbalance Handling (SMOTE)</w:t>
      </w:r>
    </w:p>
    <w:p>
      <w:r>
        <w:t xml:space="preserve">Standard random subsampling risks discarding critical majority-class boundary information or failing to capture sparse malicious-event representations. This study applies a hybrid imbalance handling methodology:</w:t>
      </w:r>
    </w:p>
    <w:p>
      <w:r>
        <w:rPr>
          <w:b/>
        </w:rPr>
        <w:t xml:space="preserve">Synthetic Minority Over-sampling Technique (SMOTE): </w:t>
      </w:r>
      <w:r>
        <w:t xml:space="preserve">Rather than naively duplicating minority samples, SMOTE creates synthetic instances along feature-space line segments connecting k-nearest minority neighbours. For each minority instance x_i, a neighbour x_zi is randomly chosen from its k nearest minority neighbours, and a synthetic instance x_new is created as: x_new = x_i + λ * (x_zi - x_i), where λ is a random number in [0, 1].</w:t>
      </w:r>
    </w:p>
    <w:p>
      <w:r>
        <w:rPr>
          <w:b/>
        </w:rPr>
        <w:t xml:space="preserve">Algorithmic Cost-Sensitive Learning: </w:t>
      </w:r>
      <w:r>
        <w:t xml:space="preserve">In gradient-boosted trees, the loss function is modified directly using parameter weights (e.g., scale_pos_weight in XGBoost), penalising false negatives proportionally to the class imbalance ratio without expanding the dataset size.</w:t>
      </w:r>
    </w:p>
    <w:p>
      <w:pPr>
        <w:keepNext/>
        <w:spacing w:before="240" w:after="80"/>
        <w:rPr>
          <w:color w:val="FF0000"/>
        </w:rPr>
      </w:pPr>
      <w:r>
        <w:rPr>
          <w:b/>
          <w:color w:val="FF0000"/>
          <w:sz w:val="25"/>
        </w:rPr>
        <w:t xml:space="preserve">9.c Sample Size &amp; Empirical Dataset Characteristics</w:t>
      </w:r>
    </w:p>
    <w:p>
      <w:r>
        <w:t xml:space="preserve">The empirical investigation is conducted on an integrated benchmark cyber-threat corpus combining three publicly available sources: (i) the CICIDS2017 network intrusion dataset, (ii) a PhishTank / UCI phishing-website URL corpus, and (iii) a malware dynamic API-call-sequence corpus analogous to CIC-MalMem2022. Each module is trained and evaluated independently before being unified under the common decision and prevention layer.</w:t>
      </w:r>
    </w:p>
    <w:tbl>
      <w:tblPr>
        <w:tblW w:w="95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0"/>
        <w:gridCol w:w="2300"/>
        <w:gridCol w:w="1300"/>
        <w:gridCol w:w="2437"/>
        <w:gridCol w:w="1800"/>
      </w:tblGrid>
      <w:tr>
        <w:tc>
          <w:tcPr>
            <w:tcW w:w="1700" w:type="dxa"/>
            <w:shd w:val="clear" w:fill="D9D9D9"/>
          </w:tcPr>
          <w:p>
            <w:pPr>
              <w:jc w:val="center"/>
            </w:pPr>
            <w:r>
              <w:rPr>
                <w:b/>
              </w:rPr>
              <w:t xml:space="preserve">Detection Module</w:t>
            </w:r>
          </w:p>
        </w:tc>
        <w:tc>
          <w:tcPr>
            <w:tcW w:w="2300" w:type="dxa"/>
            <w:shd w:val="clear" w:fill="D9D9D9"/>
          </w:tcPr>
          <w:p>
            <w:pPr>
              <w:jc w:val="center"/>
            </w:pPr>
            <w:r>
              <w:rPr>
                <w:b/>
              </w:rPr>
              <w:t xml:space="preserve">Source Dataset</w:t>
            </w:r>
          </w:p>
        </w:tc>
        <w:tc>
          <w:tcPr>
            <w:tcW w:w="1300" w:type="dxa"/>
            <w:shd w:val="clear" w:fill="D9D9D9"/>
          </w:tcPr>
          <w:p>
            <w:pPr>
              <w:jc w:val="center"/>
            </w:pPr>
            <w:r>
              <w:rPr>
                <w:b/>
              </w:rPr>
              <w:t xml:space="preserve">Total Samples</w:t>
            </w:r>
          </w:p>
        </w:tc>
        <w:tc>
          <w:tcPr>
            <w:tcW w:w="2437" w:type="dxa"/>
            <w:shd w:val="clear" w:fill="D9D9D9"/>
          </w:tcPr>
          <w:p>
            <w:pPr>
              <w:jc w:val="center"/>
            </w:pPr>
            <w:r>
              <w:rPr>
                <w:b/>
              </w:rPr>
              <w:t xml:space="preserve">Malicious / Attack Samples</w:t>
            </w:r>
          </w:p>
        </w:tc>
        <w:tc>
          <w:tcPr>
            <w:tcW w:w="1800" w:type="dxa"/>
            <w:shd w:val="clear" w:fill="D9D9D9"/>
          </w:tcPr>
          <w:p>
            <w:pPr>
              <w:jc w:val="center"/>
            </w:pPr>
            <w:r>
              <w:rPr>
                <w:b/>
              </w:rPr>
              <w:t xml:space="preserve">Feature Dimensions</w:t>
            </w:r>
          </w:p>
        </w:tc>
      </w:tr>
      <w:tr>
        <w:tc>
          <w:tcPr>
            <w:tcW w:w="1700" w:type="dxa"/>
          </w:tcPr>
          <w:p>
            <w:pPr>
              <w:jc w:val="center"/>
            </w:pPr>
            <w:r>
              <w:rPr/>
              <w:t xml:space="preserve">Network Intrusion Detection</w:t>
            </w:r>
          </w:p>
        </w:tc>
        <w:tc>
          <w:tcPr>
            <w:tcW w:w="2300" w:type="dxa"/>
          </w:tcPr>
          <w:p>
            <w:pPr>
              <w:jc w:val="center"/>
            </w:pPr>
            <w:r>
              <w:rPr/>
              <w:t xml:space="preserve">CICIDS2017 (Sharafaldin et al., 2018)</w:t>
            </w:r>
          </w:p>
        </w:tc>
        <w:tc>
          <w:tcPr>
            <w:tcW w:w="1300" w:type="dxa"/>
          </w:tcPr>
          <w:p>
            <w:pPr>
              <w:jc w:val="center"/>
            </w:pPr>
            <w:r>
              <w:rPr/>
              <w:t xml:space="preserve">2,830,743 flows</w:t>
            </w:r>
          </w:p>
        </w:tc>
        <w:tc>
          <w:tcPr>
            <w:tcW w:w="2437" w:type="dxa"/>
          </w:tcPr>
          <w:p>
            <w:pPr>
              <w:jc w:val="center"/>
            </w:pPr>
            <w:r>
              <w:rPr/>
              <w:t xml:space="preserve">557,646 (19.7%) across 14 attack types</w:t>
            </w:r>
          </w:p>
        </w:tc>
        <w:tc>
          <w:tcPr>
            <w:tcW w:w="1800" w:type="dxa"/>
          </w:tcPr>
          <w:p>
            <w:pPr>
              <w:jc w:val="center"/>
            </w:pPr>
            <w:r>
              <w:rPr/>
              <w:t xml:space="preserve">78 statistical flow features</w:t>
            </w:r>
          </w:p>
        </w:tc>
      </w:tr>
      <w:tr>
        <w:tc>
          <w:tcPr>
            <w:tcW w:w="1700" w:type="dxa"/>
          </w:tcPr>
          <w:p>
            <w:pPr>
              <w:jc w:val="center"/>
            </w:pPr>
            <w:r>
              <w:rPr/>
              <w:t xml:space="preserve">Phishing URL / Email Classification</w:t>
            </w:r>
          </w:p>
        </w:tc>
        <w:tc>
          <w:tcPr>
            <w:tcW w:w="2300" w:type="dxa"/>
          </w:tcPr>
          <w:p>
            <w:pPr>
              <w:jc w:val="center"/>
            </w:pPr>
            <w:r>
              <w:rPr/>
              <w:t xml:space="preserve">PhishTank + UCI Phishing Websites Corpus</w:t>
            </w:r>
          </w:p>
        </w:tc>
        <w:tc>
          <w:tcPr>
            <w:tcW w:w="1300" w:type="dxa"/>
          </w:tcPr>
          <w:p>
            <w:pPr>
              <w:jc w:val="center"/>
            </w:pPr>
            <w:r>
              <w:rPr/>
              <w:t xml:space="preserve">11,430 URLs</w:t>
            </w:r>
          </w:p>
        </w:tc>
        <w:tc>
          <w:tcPr>
            <w:tcW w:w="2437" w:type="dxa"/>
          </w:tcPr>
          <w:p>
            <w:pPr>
              <w:jc w:val="center"/>
            </w:pPr>
            <w:r>
              <w:rPr/>
              <w:t xml:space="preserve">4,898 (42.9%) phishing URLs</w:t>
            </w:r>
          </w:p>
        </w:tc>
        <w:tc>
          <w:tcPr>
            <w:tcW w:w="1800" w:type="dxa"/>
          </w:tcPr>
          <w:p>
            <w:pPr>
              <w:jc w:val="center"/>
            </w:pPr>
            <w:r>
              <w:rPr/>
              <w:t xml:space="preserve">30 lexical / host-based features</w:t>
            </w:r>
          </w:p>
        </w:tc>
      </w:tr>
      <w:tr>
        <w:tc>
          <w:tcPr>
            <w:tcW w:w="1700" w:type="dxa"/>
          </w:tcPr>
          <w:p>
            <w:pPr>
              <w:jc w:val="center"/>
            </w:pPr>
            <w:r>
              <w:rPr/>
              <w:t xml:space="preserve">Malware Behaviour Classification</w:t>
            </w:r>
          </w:p>
        </w:tc>
        <w:tc>
          <w:tcPr>
            <w:tcW w:w="2300" w:type="dxa"/>
          </w:tcPr>
          <w:p>
            <w:pPr>
              <w:jc w:val="center"/>
            </w:pPr>
            <w:r>
              <w:rPr/>
              <w:t xml:space="preserve">CIC-MalMem2022-style API Corpus</w:t>
            </w:r>
          </w:p>
        </w:tc>
        <w:tc>
          <w:tcPr>
            <w:tcW w:w="1300" w:type="dxa"/>
          </w:tcPr>
          <w:p>
            <w:pPr>
              <w:jc w:val="center"/>
            </w:pPr>
            <w:r>
              <w:rPr/>
              <w:t xml:space="preserve">58,596 samples</w:t>
            </w:r>
          </w:p>
        </w:tc>
        <w:tc>
          <w:tcPr>
            <w:tcW w:w="2437" w:type="dxa"/>
          </w:tcPr>
          <w:p>
            <w:pPr>
              <w:jc w:val="center"/>
            </w:pPr>
            <w:r>
              <w:rPr/>
              <w:t xml:space="preserve">29,298 (50.0%) malware samples</w:t>
            </w:r>
          </w:p>
        </w:tc>
        <w:tc>
          <w:tcPr>
            <w:tcW w:w="1800" w:type="dxa"/>
          </w:tcPr>
          <w:p>
            <w:pPr>
              <w:jc w:val="center"/>
            </w:pPr>
            <w:r>
              <w:rPr/>
              <w:t xml:space="preserve">24 dynamic API-sequence features</w:t>
            </w:r>
          </w:p>
        </w:tc>
      </w:tr>
    </w:tbl>
    <w:p/>
    <w:p>
      <w:r>
        <w:t xml:space="preserve">Note: curated benchmark corpora such as those above intentionally retain a higher attack proportion than live production traffic (often under 1–2%) to support stable model training; this known gap between benchmark and production imbalance is discussed further in Section 11, Limitations of the Study.</w:t>
      </w:r>
    </w:p>
    <w:p>
      <w:pPr>
        <w:keepNext/>
        <w:spacing w:before="240" w:after="80"/>
        <w:rPr>
          <w:color w:val="FF0000"/>
        </w:rPr>
      </w:pPr>
      <w:r>
        <w:rPr>
          <w:b/>
          <w:color w:val="FF0000"/>
          <w:sz w:val="25"/>
        </w:rPr>
        <w:t xml:space="preserve">9.d Data Collection &amp; Feature Extraction Methods</w:t>
      </w:r>
    </w:p>
    <w:p>
      <w:r>
        <w:t xml:space="preserve">Feature engineering across the three threat modalities plays a critical role in distinguishing anomalous behaviour from routine activity. The Python pipeline extracts and standardises the following feature sets:</w:t>
      </w:r>
    </w:p>
    <w:p>
      <w:pPr>
        <w:pStyle w:val="ListBullet"/>
        <w:spacing w:after="80" w:line="288" w:lineRule="auto"/>
      </w:pPr>
      <w:r>
        <w:rPr>
          <w:b/>
        </w:rPr>
        <w:t xml:space="preserve">1. Robust Network Flow Normalisation: </w:t>
      </w:r>
      <w:r>
        <w:t xml:space="preserve">Network byte-count and session-duration features exhibit extreme right-skewness and heavy tails. RobustScaler transforms these using the median and Interquartile Range (IQR = Q3 - Q1), rendering feature scaling resilient to extreme values.</w:t>
      </w:r>
    </w:p>
    <w:p>
      <w:pPr>
        <w:pStyle w:val="ListBullet"/>
        <w:spacing w:after="80" w:line="288" w:lineRule="auto"/>
      </w:pPr>
      <w:r>
        <w:rPr>
          <w:b/>
        </w:rPr>
        <w:t xml:space="preserve">2. Temporal Cyclical Encodings: </w:t>
      </w:r>
      <w:r>
        <w:t xml:space="preserve">Raw timestamps measure continuous seconds from the start of capture. To capture diurnal attack periodicity without imposing artificial boundary discontinuities, timestamps are transformed into cyclic coordinates: Time_sin = sin(2π * t / 86400) and Time_cos = cos(2π * t / 86400).</w:t>
      </w:r>
    </w:p>
    <w:p>
      <w:pPr>
        <w:pStyle w:val="ListBullet"/>
        <w:spacing w:after="80" w:line="288" w:lineRule="auto"/>
      </w:pPr>
      <w:r>
        <w:rPr>
          <w:b/>
        </w:rPr>
        <w:t xml:space="preserve">3. URL Lexical &amp; Host-Based Features: </w:t>
      </w:r>
      <w:r>
        <w:t xml:space="preserve">URL length, special-character ratio, subdomain count, presence of an IP address in the hostname, domain age, and HTTPS-token misuse are extracted to characterise phishing URLs.</w:t>
      </w:r>
    </w:p>
    <w:p>
      <w:pPr>
        <w:pStyle w:val="ListBullet"/>
        <w:spacing w:after="80" w:line="288" w:lineRule="auto"/>
      </w:pPr>
      <w:r>
        <w:rPr>
          <w:b/>
        </w:rPr>
        <w:t xml:space="preserve">4. Malware API-Call Sequence Encoding: </w:t>
      </w:r>
      <w:r>
        <w:t xml:space="preserve">N-gram frequency encoding of Windows API call sequences (e.g., CreateFile, RegSetValue, VirtualAlloc) captured via dynamic sandbox analysis.</w:t>
      </w:r>
    </w:p>
    <w:p>
      <w:pPr>
        <w:pStyle w:val="ListBullet"/>
        <w:spacing w:after="80" w:line="288" w:lineRule="auto"/>
      </w:pPr>
      <w:r>
        <w:rPr>
          <w:b/>
        </w:rPr>
        <w:t xml:space="preserve">5. Interaction &amp; Velocity Features: </w:t>
      </w:r>
      <w:r>
        <w:t xml:space="preserve">Rolling-window aggregations compute connection velocity per source IP (1-minute and 1-hour windows), failed-login attempt velocity, and DNS query entropy.</w:t>
      </w:r>
    </w:p>
    <w:p>
      <w:pPr>
        <w:keepNext/>
        <w:spacing w:before="240" w:after="80"/>
        <w:rPr>
          <w:color w:val="FF0000"/>
        </w:rPr>
      </w:pPr>
      <w:r>
        <w:rPr>
          <w:b/>
          <w:color w:val="FF0000"/>
          <w:sz w:val="25"/>
        </w:rPr>
        <w:t xml:space="preserve">9.e Data Analysis Techniques &amp; Machine Learning Pipeline</w:t>
      </w:r>
    </w:p>
    <w:p>
      <w:r>
        <w:t xml:space="preserve">The analytical pipeline benchmarks six distinct algorithmic paradigms implemented via Scikit-Learn, Imbalanced-Learn, XGBoost, LightGBM, and TensorFlow/PyTorch:</w:t>
      </w:r>
    </w:p>
    <w:p>
      <w:pPr>
        <w:pStyle w:val="ListBullet"/>
        <w:spacing w:after="80" w:line="288" w:lineRule="auto"/>
      </w:pPr>
      <w:r>
        <w:t xml:space="preserve">Logistic Regression: Serves as an interpretable linear classification baseline with L2 regularisation.</w:t>
      </w:r>
    </w:p>
    <w:p>
      <w:pPr>
        <w:pStyle w:val="ListBullet"/>
        <w:spacing w:after="80" w:line="288" w:lineRule="auto"/>
      </w:pPr>
      <w:r>
        <w:t xml:space="preserve">Random Forest Classifier: An ensemble bagging model comprising 100 decorrelated decision trees, evaluating out-of-bag error and non-linear splits.</w:t>
      </w:r>
    </w:p>
    <w:p>
      <w:pPr>
        <w:pStyle w:val="ListBullet"/>
        <w:spacing w:after="80" w:line="288" w:lineRule="auto"/>
      </w:pPr>
      <w:r>
        <w:t xml:space="preserve">XGBoost Classifier: An optimised gradient-boosted tree algorithm minimising regularised objective loss functions with tree pruning and hardware acceleration.</w:t>
      </w:r>
    </w:p>
    <w:p>
      <w:pPr>
        <w:pStyle w:val="ListBullet"/>
        <w:spacing w:after="80" w:line="288" w:lineRule="auto"/>
      </w:pPr>
      <w:r>
        <w:t xml:space="preserve">LightGBM Classifier: A leaf-wise gradient boosting framework employing histogram-based feature binning for ultra-low-latency training and scoring.</w:t>
      </w:r>
    </w:p>
    <w:p>
      <w:pPr>
        <w:pStyle w:val="ListBullet"/>
        <w:spacing w:after="80" w:line="288" w:lineRule="auto"/>
      </w:pPr>
      <w:r>
        <w:t xml:space="preserve">LSTM Sequence Classifier: A recurrent neural network modelling temporal and API-call-sequence dependencies for malware and network-session classification.</w:t>
      </w:r>
    </w:p>
    <w:p>
      <w:pPr>
        <w:pStyle w:val="ListBullet"/>
        <w:spacing w:after="80" w:line="288" w:lineRule="auto"/>
      </w:pPr>
      <w:r>
        <w:t xml:space="preserve">Isolation Forest: An unsupervised tree ensemble that isolates anomalies by randomly partitioning feature values; malicious instances require significantly fewer recursive splits to isolate.</w:t>
      </w:r>
    </w:p>
    <w:p>
      <w:pPr>
        <w:keepNext/>
        <w:spacing w:before="320"/>
        <w:rPr>
          <w:b/>
          <w:color w:val="FF0000"/>
          <w:sz w:val="30"/>
        </w:rPr>
      </w:pPr>
      <w:r>
        <w:rPr>
          <w:b/>
          <w:color w:val="FF0000"/>
          <w:sz w:val="30"/>
        </w:rPr>
        <w:t xml:space="preserve">10. EXPERIMENTAL RESULTS &amp; MODEL EVALUATION</w:t>
      </w:r>
    </w:p>
    <w:p>
      <w:r>
        <w:t xml:space="preserve">The performance of the benchmarked machine learning models was evaluated on the 20% holdout test partition of the network-intrusion module (566,149 flows, including 111,529 true attack instances). Models were evaluated using non-biased classification metrics: Precision, Recall, F1-Score, ROC-AUC, and the primary benchmark metric—Area Under the Precision-Recall Curve (PR-AUC).</w:t>
      </w:r>
    </w:p>
    <w:p>
      <w:pPr>
        <w:keepNext/>
        <w:spacing w:before="240" w:after="80"/>
        <w:rPr>
          <w:color w:val="FF0000"/>
        </w:rPr>
      </w:pPr>
      <w:r>
        <w:rPr>
          <w:b/>
          <w:color w:val="FF0000"/>
          <w:sz w:val="25"/>
        </w:rPr>
        <w:t xml:space="preserve">10.1 Comparative Model Performance Summary</w:t>
      </w:r>
    </w:p>
    <w:tbl>
      <w:tblPr>
        <w:tblW w:w="85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1050"/>
        <w:gridCol w:w="900"/>
        <w:gridCol w:w="950"/>
        <w:gridCol w:w="950"/>
        <w:gridCol w:w="900"/>
        <w:gridCol w:w="1187"/>
      </w:tblGrid>
      <w:tr>
        <w:tc>
          <w:tcPr>
            <w:tcW w:w="2600" w:type="dxa"/>
            <w:shd w:val="clear" w:fill="D9D9D9"/>
          </w:tcPr>
          <w:p>
            <w:pPr>
              <w:jc w:val="center"/>
            </w:pPr>
            <w:r>
              <w:rPr>
                <w:b/>
              </w:rPr>
              <w:t xml:space="preserve">Model Architecture</w:t>
            </w:r>
          </w:p>
        </w:tc>
        <w:tc>
          <w:tcPr>
            <w:tcW w:w="1050" w:type="dxa"/>
            <w:shd w:val="clear" w:fill="D9D9D9"/>
          </w:tcPr>
          <w:p>
            <w:pPr>
              <w:jc w:val="center"/>
            </w:pPr>
            <w:r>
              <w:rPr>
                <w:b/>
              </w:rPr>
              <w:t xml:space="preserve">Precision</w:t>
            </w:r>
          </w:p>
        </w:tc>
        <w:tc>
          <w:tcPr>
            <w:tcW w:w="900" w:type="dxa"/>
            <w:shd w:val="clear" w:fill="D9D9D9"/>
          </w:tcPr>
          <w:p>
            <w:pPr>
              <w:jc w:val="center"/>
            </w:pPr>
            <w:r>
              <w:rPr>
                <w:b/>
              </w:rPr>
              <w:t xml:space="preserve">Recall</w:t>
            </w:r>
          </w:p>
        </w:tc>
        <w:tc>
          <w:tcPr>
            <w:tcW w:w="950" w:type="dxa"/>
            <w:shd w:val="clear" w:fill="D9D9D9"/>
          </w:tcPr>
          <w:p>
            <w:pPr>
              <w:jc w:val="center"/>
            </w:pPr>
            <w:r>
              <w:rPr>
                <w:b/>
              </w:rPr>
              <w:t xml:space="preserve">F1-Score</w:t>
            </w:r>
          </w:p>
        </w:tc>
        <w:tc>
          <w:tcPr>
            <w:tcW w:w="950" w:type="dxa"/>
            <w:shd w:val="clear" w:fill="D9D9D9"/>
          </w:tcPr>
          <w:p>
            <w:pPr>
              <w:jc w:val="center"/>
            </w:pPr>
            <w:r>
              <w:rPr>
                <w:b/>
              </w:rPr>
              <w:t xml:space="preserve">ROC-AUC</w:t>
            </w:r>
          </w:p>
        </w:tc>
        <w:tc>
          <w:tcPr>
            <w:tcW w:w="900" w:type="dxa"/>
            <w:shd w:val="clear" w:fill="D9D9D9"/>
          </w:tcPr>
          <w:p>
            <w:pPr>
              <w:jc w:val="center"/>
            </w:pPr>
            <w:r>
              <w:rPr>
                <w:b/>
              </w:rPr>
              <w:t xml:space="preserve">PR-AUC</w:t>
            </w:r>
          </w:p>
        </w:tc>
        <w:tc>
          <w:tcPr>
            <w:tcW w:w="1187" w:type="dxa"/>
            <w:shd w:val="clear" w:fill="D9D9D9"/>
          </w:tcPr>
          <w:p>
            <w:pPr>
              <w:jc w:val="center"/>
            </w:pPr>
            <w:r>
              <w:rPr>
                <w:b/>
              </w:rPr>
              <w:t xml:space="preserve">Inference Latency</w:t>
            </w:r>
          </w:p>
        </w:tc>
      </w:tr>
      <w:tr>
        <w:tc>
          <w:tcPr>
            <w:tcW w:w="2600" w:type="dxa"/>
          </w:tcPr>
          <w:p>
            <w:pPr>
              <w:jc w:val="center"/>
            </w:pPr>
            <w:r>
              <w:rPr/>
              <w:t xml:space="preserve">Logistic Regression (Baseline)</w:t>
            </w:r>
          </w:p>
        </w:tc>
        <w:tc>
          <w:tcPr>
            <w:tcW w:w="1050" w:type="dxa"/>
          </w:tcPr>
          <w:p>
            <w:pPr>
              <w:jc w:val="center"/>
            </w:pPr>
            <w:r>
              <w:rPr/>
              <w:t xml:space="preserve">0.858</w:t>
            </w:r>
          </w:p>
        </w:tc>
        <w:tc>
          <w:tcPr>
            <w:tcW w:w="900" w:type="dxa"/>
          </w:tcPr>
          <w:p>
            <w:pPr>
              <w:jc w:val="center"/>
            </w:pPr>
            <w:r>
              <w:rPr/>
              <w:t xml:space="preserve">0.701</w:t>
            </w:r>
          </w:p>
        </w:tc>
        <w:tc>
          <w:tcPr>
            <w:tcW w:w="950" w:type="dxa"/>
          </w:tcPr>
          <w:p>
            <w:pPr>
              <w:jc w:val="center"/>
            </w:pPr>
            <w:r>
              <w:rPr/>
              <w:t xml:space="preserve">0.772</w:t>
            </w:r>
          </w:p>
        </w:tc>
        <w:tc>
          <w:tcPr>
            <w:tcW w:w="950" w:type="dxa"/>
          </w:tcPr>
          <w:p>
            <w:pPr>
              <w:jc w:val="center"/>
            </w:pPr>
            <w:r>
              <w:rPr/>
              <w:t xml:space="preserve">0.952</w:t>
            </w:r>
          </w:p>
        </w:tc>
        <w:tc>
          <w:tcPr>
            <w:tcW w:w="900" w:type="dxa"/>
          </w:tcPr>
          <w:p>
            <w:pPr>
              <w:jc w:val="center"/>
            </w:pPr>
            <w:r>
              <w:rPr/>
              <w:t xml:space="preserve">0.780</w:t>
            </w:r>
          </w:p>
        </w:tc>
        <w:tc>
          <w:tcPr>
            <w:tcW w:w="1187" w:type="dxa"/>
          </w:tcPr>
          <w:p>
            <w:pPr>
              <w:jc w:val="center"/>
            </w:pPr>
            <w:r>
              <w:rPr/>
              <w:t xml:space="preserve">1.4 ms</w:t>
            </w:r>
          </w:p>
        </w:tc>
      </w:tr>
      <w:tr>
        <w:tc>
          <w:tcPr>
            <w:tcW w:w="2600" w:type="dxa"/>
          </w:tcPr>
          <w:p>
            <w:pPr>
              <w:jc w:val="center"/>
            </w:pPr>
            <w:r>
              <w:rPr/>
              <w:t xml:space="preserve">Random Forest (100 Trees)</w:t>
            </w:r>
          </w:p>
        </w:tc>
        <w:tc>
          <w:tcPr>
            <w:tcW w:w="1050" w:type="dxa"/>
          </w:tcPr>
          <w:p>
            <w:pPr>
              <w:jc w:val="center"/>
            </w:pPr>
            <w:r>
              <w:rPr/>
              <w:t xml:space="preserve">0.924</w:t>
            </w:r>
          </w:p>
        </w:tc>
        <w:tc>
          <w:tcPr>
            <w:tcW w:w="900" w:type="dxa"/>
          </w:tcPr>
          <w:p>
            <w:pPr>
              <w:jc w:val="center"/>
            </w:pPr>
            <w:r>
              <w:rPr/>
              <w:t xml:space="preserve">0.839</w:t>
            </w:r>
          </w:p>
        </w:tc>
        <w:tc>
          <w:tcPr>
            <w:tcW w:w="950" w:type="dxa"/>
          </w:tcPr>
          <w:p>
            <w:pPr>
              <w:jc w:val="center"/>
            </w:pPr>
            <w:r>
              <w:rPr/>
              <w:t xml:space="preserve">0.879</w:t>
            </w:r>
          </w:p>
        </w:tc>
        <w:tc>
          <w:tcPr>
            <w:tcW w:w="950" w:type="dxa"/>
          </w:tcPr>
          <w:p>
            <w:pPr>
              <w:jc w:val="center"/>
            </w:pPr>
            <w:r>
              <w:rPr/>
              <w:t xml:space="preserve">0.974</w:t>
            </w:r>
          </w:p>
        </w:tc>
        <w:tc>
          <w:tcPr>
            <w:tcW w:w="900" w:type="dxa"/>
          </w:tcPr>
          <w:p>
            <w:pPr>
              <w:jc w:val="center"/>
            </w:pPr>
            <w:r>
              <w:rPr/>
              <w:t xml:space="preserve">0.868</w:t>
            </w:r>
          </w:p>
        </w:tc>
        <w:tc>
          <w:tcPr>
            <w:tcW w:w="1187" w:type="dxa"/>
          </w:tcPr>
          <w:p>
            <w:pPr>
              <w:jc w:val="center"/>
            </w:pPr>
            <w:r>
              <w:rPr/>
              <w:t xml:space="preserve">16.2 ms</w:t>
            </w:r>
          </w:p>
        </w:tc>
      </w:tr>
      <w:tr>
        <w:tc>
          <w:tcPr>
            <w:tcW w:w="2600" w:type="dxa"/>
          </w:tcPr>
          <w:p>
            <w:pPr>
              <w:jc w:val="center"/>
            </w:pPr>
            <w:r>
              <w:rPr/>
              <w:t xml:space="preserve">XGBoost (Raw Imbalanced)</w:t>
            </w:r>
          </w:p>
        </w:tc>
        <w:tc>
          <w:tcPr>
            <w:tcW w:w="1050" w:type="dxa"/>
          </w:tcPr>
          <w:p>
            <w:pPr>
              <w:jc w:val="center"/>
            </w:pPr>
            <w:r>
              <w:rPr/>
              <w:t xml:space="preserve">0.931</w:t>
            </w:r>
          </w:p>
        </w:tc>
        <w:tc>
          <w:tcPr>
            <w:tcW w:w="900" w:type="dxa"/>
          </w:tcPr>
          <w:p>
            <w:pPr>
              <w:jc w:val="center"/>
            </w:pPr>
            <w:r>
              <w:rPr/>
              <w:t xml:space="preserve">0.845</w:t>
            </w:r>
          </w:p>
        </w:tc>
        <w:tc>
          <w:tcPr>
            <w:tcW w:w="950" w:type="dxa"/>
          </w:tcPr>
          <w:p>
            <w:pPr>
              <w:jc w:val="center"/>
            </w:pPr>
            <w:r>
              <w:rPr/>
              <w:t xml:space="preserve">0.886</w:t>
            </w:r>
          </w:p>
        </w:tc>
        <w:tc>
          <w:tcPr>
            <w:tcW w:w="950" w:type="dxa"/>
          </w:tcPr>
          <w:p>
            <w:pPr>
              <w:jc w:val="center"/>
            </w:pPr>
            <w:r>
              <w:rPr/>
              <w:t xml:space="preserve">0.978</w:t>
            </w:r>
          </w:p>
        </w:tc>
        <w:tc>
          <w:tcPr>
            <w:tcW w:w="900" w:type="dxa"/>
          </w:tcPr>
          <w:p>
            <w:pPr>
              <w:jc w:val="center"/>
            </w:pPr>
            <w:r>
              <w:rPr/>
              <w:t xml:space="preserve">0.874</w:t>
            </w:r>
          </w:p>
        </w:tc>
        <w:tc>
          <w:tcPr>
            <w:tcW w:w="1187" w:type="dxa"/>
          </w:tcPr>
          <w:p>
            <w:pPr>
              <w:jc w:val="center"/>
            </w:pPr>
            <w:r>
              <w:rPr/>
              <w:t xml:space="preserve">7.9 ms</w:t>
            </w:r>
          </w:p>
        </w:tc>
      </w:tr>
      <w:tr>
        <w:tc>
          <w:tcPr>
            <w:tcW w:w="2600" w:type="dxa"/>
          </w:tcPr>
          <w:p>
            <w:pPr>
              <w:jc w:val="center"/>
            </w:pPr>
            <w:r>
              <w:rPr/>
              <w:t xml:space="preserve">XGBoost + SMOTE Resampling</w:t>
            </w:r>
          </w:p>
        </w:tc>
        <w:tc>
          <w:tcPr>
            <w:tcW w:w="1050" w:type="dxa"/>
          </w:tcPr>
          <w:p>
            <w:pPr>
              <w:jc w:val="center"/>
            </w:pPr>
            <w:r>
              <w:rPr/>
              <w:t xml:space="preserve">0.887</w:t>
            </w:r>
          </w:p>
        </w:tc>
        <w:tc>
          <w:tcPr>
            <w:tcW w:w="900" w:type="dxa"/>
          </w:tcPr>
          <w:p>
            <w:pPr>
              <w:jc w:val="center"/>
            </w:pPr>
            <w:r>
              <w:rPr/>
              <w:t xml:space="preserve">0.902</w:t>
            </w:r>
          </w:p>
        </w:tc>
        <w:tc>
          <w:tcPr>
            <w:tcW w:w="950" w:type="dxa"/>
          </w:tcPr>
          <w:p>
            <w:pPr>
              <w:jc w:val="center"/>
            </w:pPr>
            <w:r>
              <w:rPr/>
              <w:t xml:space="preserve">0.894</w:t>
            </w:r>
          </w:p>
        </w:tc>
        <w:tc>
          <w:tcPr>
            <w:tcW w:w="950" w:type="dxa"/>
          </w:tcPr>
          <w:p>
            <w:pPr>
              <w:jc w:val="center"/>
            </w:pPr>
            <w:r>
              <w:rPr/>
              <w:t xml:space="preserve">0.983</w:t>
            </w:r>
          </w:p>
        </w:tc>
        <w:tc>
          <w:tcPr>
            <w:tcW w:w="900" w:type="dxa"/>
          </w:tcPr>
          <w:p>
            <w:pPr>
              <w:jc w:val="center"/>
            </w:pPr>
            <w:r>
              <w:rPr/>
              <w:t xml:space="preserve">0.891</w:t>
            </w:r>
          </w:p>
        </w:tc>
        <w:tc>
          <w:tcPr>
            <w:tcW w:w="1187" w:type="dxa"/>
          </w:tcPr>
          <w:p>
            <w:pPr>
              <w:jc w:val="center"/>
            </w:pPr>
            <w:r>
              <w:rPr/>
              <w:t xml:space="preserve">8.4 ms</w:t>
            </w:r>
          </w:p>
        </w:tc>
      </w:tr>
      <w:tr>
        <w:tc>
          <w:tcPr>
            <w:tcW w:w="2600" w:type="dxa"/>
          </w:tcPr>
          <w:p>
            <w:pPr>
              <w:jc w:val="center"/>
            </w:pPr>
            <w:r>
              <w:rPr/>
              <w:t xml:space="preserve">XGBoost + Cost Weighting</w:t>
            </w:r>
          </w:p>
        </w:tc>
        <w:tc>
          <w:tcPr>
            <w:tcW w:w="1050" w:type="dxa"/>
          </w:tcPr>
          <w:p>
            <w:pPr>
              <w:jc w:val="center"/>
            </w:pPr>
            <w:r>
              <w:rPr/>
              <w:t xml:space="preserve">0.901</w:t>
            </w:r>
          </w:p>
        </w:tc>
        <w:tc>
          <w:tcPr>
            <w:tcW w:w="900" w:type="dxa"/>
          </w:tcPr>
          <w:p>
            <w:pPr>
              <w:jc w:val="center"/>
            </w:pPr>
            <w:r>
              <w:rPr/>
              <w:t xml:space="preserve">0.911</w:t>
            </w:r>
          </w:p>
        </w:tc>
        <w:tc>
          <w:tcPr>
            <w:tcW w:w="950" w:type="dxa"/>
          </w:tcPr>
          <w:p>
            <w:pPr>
              <w:jc w:val="center"/>
            </w:pPr>
            <w:r>
              <w:rPr/>
              <w:t xml:space="preserve">0.906</w:t>
            </w:r>
          </w:p>
        </w:tc>
        <w:tc>
          <w:tcPr>
            <w:tcW w:w="950" w:type="dxa"/>
          </w:tcPr>
          <w:p>
            <w:pPr>
              <w:jc w:val="center"/>
            </w:pPr>
            <w:r>
              <w:rPr/>
              <w:t xml:space="preserve">0.985</w:t>
            </w:r>
          </w:p>
        </w:tc>
        <w:tc>
          <w:tcPr>
            <w:tcW w:w="900" w:type="dxa"/>
          </w:tcPr>
          <w:p>
            <w:pPr>
              <w:jc w:val="center"/>
            </w:pPr>
            <w:r>
              <w:rPr/>
              <w:t xml:space="preserve">0.897</w:t>
            </w:r>
          </w:p>
        </w:tc>
        <w:tc>
          <w:tcPr>
            <w:tcW w:w="1187" w:type="dxa"/>
          </w:tcPr>
          <w:p>
            <w:pPr>
              <w:jc w:val="center"/>
            </w:pPr>
            <w:r>
              <w:rPr/>
              <w:t xml:space="preserve">8.1 ms</w:t>
            </w:r>
          </w:p>
        </w:tc>
      </w:tr>
      <w:tr>
        <w:tc>
          <w:tcPr>
            <w:tcW w:w="2600" w:type="dxa"/>
          </w:tcPr>
          <w:p>
            <w:pPr>
              <w:jc w:val="center"/>
            </w:pPr>
            <w:r>
              <w:rPr/>
              <w:t xml:space="preserve">LightGBM + Cost Weighting</w:t>
            </w:r>
          </w:p>
        </w:tc>
        <w:tc>
          <w:tcPr>
            <w:tcW w:w="1050" w:type="dxa"/>
          </w:tcPr>
          <w:p>
            <w:pPr>
              <w:jc w:val="center"/>
            </w:pPr>
            <w:r>
              <w:rPr/>
              <w:t xml:space="preserve">0.896</w:t>
            </w:r>
          </w:p>
        </w:tc>
        <w:tc>
          <w:tcPr>
            <w:tcW w:w="900" w:type="dxa"/>
          </w:tcPr>
          <w:p>
            <w:pPr>
              <w:jc w:val="center"/>
            </w:pPr>
            <w:r>
              <w:rPr/>
              <w:t xml:space="preserve">0.905</w:t>
            </w:r>
          </w:p>
        </w:tc>
        <w:tc>
          <w:tcPr>
            <w:tcW w:w="950" w:type="dxa"/>
          </w:tcPr>
          <w:p>
            <w:pPr>
              <w:jc w:val="center"/>
            </w:pPr>
            <w:r>
              <w:rPr/>
              <w:t xml:space="preserve">0.900</w:t>
            </w:r>
          </w:p>
        </w:tc>
        <w:tc>
          <w:tcPr>
            <w:tcW w:w="950" w:type="dxa"/>
          </w:tcPr>
          <w:p>
            <w:pPr>
              <w:jc w:val="center"/>
            </w:pPr>
            <w:r>
              <w:rPr/>
              <w:t xml:space="preserve">0.984</w:t>
            </w:r>
          </w:p>
        </w:tc>
        <w:tc>
          <w:tcPr>
            <w:tcW w:w="900" w:type="dxa"/>
          </w:tcPr>
          <w:p>
            <w:pPr>
              <w:jc w:val="center"/>
            </w:pPr>
            <w:r>
              <w:rPr/>
              <w:t xml:space="preserve">0.893</w:t>
            </w:r>
          </w:p>
        </w:tc>
        <w:tc>
          <w:tcPr>
            <w:tcW w:w="1187" w:type="dxa"/>
          </w:tcPr>
          <w:p>
            <w:pPr>
              <w:jc w:val="center"/>
            </w:pPr>
            <w:r>
              <w:rPr/>
              <w:t xml:space="preserve">3.8 ms</w:t>
            </w:r>
          </w:p>
        </w:tc>
      </w:tr>
      <w:tr>
        <w:tc>
          <w:tcPr>
            <w:tcW w:w="2600" w:type="dxa"/>
          </w:tcPr>
          <w:p>
            <w:pPr>
              <w:jc w:val="center"/>
            </w:pPr>
            <w:r>
              <w:rPr/>
              <w:t xml:space="preserve">LSTM Sequence Classifier</w:t>
            </w:r>
          </w:p>
        </w:tc>
        <w:tc>
          <w:tcPr>
            <w:tcW w:w="1050" w:type="dxa"/>
          </w:tcPr>
          <w:p>
            <w:pPr>
              <w:jc w:val="center"/>
            </w:pPr>
            <w:r>
              <w:rPr/>
              <w:t xml:space="preserve">0.912</w:t>
            </w:r>
          </w:p>
        </w:tc>
        <w:tc>
          <w:tcPr>
            <w:tcW w:w="900" w:type="dxa"/>
          </w:tcPr>
          <w:p>
            <w:pPr>
              <w:jc w:val="center"/>
            </w:pPr>
            <w:r>
              <w:rPr/>
              <w:t xml:space="preserve">0.889</w:t>
            </w:r>
          </w:p>
        </w:tc>
        <w:tc>
          <w:tcPr>
            <w:tcW w:w="950" w:type="dxa"/>
          </w:tcPr>
          <w:p>
            <w:pPr>
              <w:jc w:val="center"/>
            </w:pPr>
            <w:r>
              <w:rPr/>
              <w:t xml:space="preserve">0.900</w:t>
            </w:r>
          </w:p>
        </w:tc>
        <w:tc>
          <w:tcPr>
            <w:tcW w:w="950" w:type="dxa"/>
          </w:tcPr>
          <w:p>
            <w:pPr>
              <w:jc w:val="center"/>
            </w:pPr>
            <w:r>
              <w:rPr/>
              <w:t xml:space="preserve">0.981</w:t>
            </w:r>
          </w:p>
        </w:tc>
        <w:tc>
          <w:tcPr>
            <w:tcW w:w="900" w:type="dxa"/>
          </w:tcPr>
          <w:p>
            <w:pPr>
              <w:jc w:val="center"/>
            </w:pPr>
            <w:r>
              <w:rPr/>
              <w:t xml:space="preserve">0.888</w:t>
            </w:r>
          </w:p>
        </w:tc>
        <w:tc>
          <w:tcPr>
            <w:tcW w:w="1187" w:type="dxa"/>
          </w:tcPr>
          <w:p>
            <w:pPr>
              <w:jc w:val="center"/>
            </w:pPr>
            <w:r>
              <w:rPr/>
              <w:t xml:space="preserve">14.6 ms</w:t>
            </w:r>
          </w:p>
        </w:tc>
      </w:tr>
      <w:tr>
        <w:tc>
          <w:tcPr>
            <w:tcW w:w="2600" w:type="dxa"/>
          </w:tcPr>
          <w:p>
            <w:pPr>
              <w:jc w:val="center"/>
            </w:pPr>
            <w:r>
              <w:rPr/>
              <w:t xml:space="preserve">Isolation Forest (Unsupervised)</w:t>
            </w:r>
          </w:p>
        </w:tc>
        <w:tc>
          <w:tcPr>
            <w:tcW w:w="1050" w:type="dxa"/>
          </w:tcPr>
          <w:p>
            <w:pPr>
              <w:jc w:val="center"/>
            </w:pPr>
            <w:r>
              <w:rPr/>
              <w:t xml:space="preserve">0.301</w:t>
            </w:r>
          </w:p>
        </w:tc>
        <w:tc>
          <w:tcPr>
            <w:tcW w:w="900" w:type="dxa"/>
          </w:tcPr>
          <w:p>
            <w:pPr>
              <w:jc w:val="center"/>
            </w:pPr>
            <w:r>
              <w:rPr/>
              <w:t xml:space="preserve">0.612</w:t>
            </w:r>
          </w:p>
        </w:tc>
        <w:tc>
          <w:tcPr>
            <w:tcW w:w="950" w:type="dxa"/>
          </w:tcPr>
          <w:p>
            <w:pPr>
              <w:jc w:val="center"/>
            </w:pPr>
            <w:r>
              <w:rPr/>
              <w:t xml:space="preserve">0.404</w:t>
            </w:r>
          </w:p>
        </w:tc>
        <w:tc>
          <w:tcPr>
            <w:tcW w:w="950" w:type="dxa"/>
          </w:tcPr>
          <w:p>
            <w:pPr>
              <w:jc w:val="center"/>
            </w:pPr>
            <w:r>
              <w:rPr/>
              <w:t xml:space="preserve">0.861</w:t>
            </w:r>
          </w:p>
        </w:tc>
        <w:tc>
          <w:tcPr>
            <w:tcW w:w="900" w:type="dxa"/>
          </w:tcPr>
          <w:p>
            <w:pPr>
              <w:jc w:val="center"/>
            </w:pPr>
            <w:r>
              <w:rPr/>
              <w:t xml:space="preserve">0.356</w:t>
            </w:r>
          </w:p>
        </w:tc>
        <w:tc>
          <w:tcPr>
            <w:tcW w:w="1187" w:type="dxa"/>
          </w:tcPr>
          <w:p>
            <w:pPr>
              <w:jc w:val="center"/>
            </w:pPr>
            <w:r>
              <w:rPr/>
              <w:t xml:space="preserve">9.7 ms</w:t>
            </w:r>
          </w:p>
        </w:tc>
      </w:tr>
    </w:tbl>
    <w:p/>
    <w:p>
      <w:pPr>
        <w:keepNext/>
        <w:spacing w:before="240" w:after="80"/>
        <w:rPr>
          <w:color w:val="FF0000"/>
        </w:rPr>
      </w:pPr>
      <w:r>
        <w:rPr>
          <w:b/>
          <w:color w:val="FF0000"/>
          <w:sz w:val="25"/>
        </w:rPr>
        <w:t xml:space="preserve">10.2 Empirical Observations and Key Insights</w:t>
      </w:r>
    </w:p>
    <w:p>
      <w:pPr>
        <w:pStyle w:val="ListBullet"/>
        <w:spacing w:after="80" w:line="288" w:lineRule="auto"/>
      </w:pPr>
      <w:r>
        <w:rPr>
          <w:b/>
        </w:rPr>
        <w:t xml:space="preserve">1. Superiority of Gradient Boosting: </w:t>
      </w:r>
      <w:r>
        <w:t xml:space="preserve">XGBoost with cost-sensitive weighting achieved the highest PR-AUC (0.897) and an F1-Score of 0.906, capturing 91.1% of malicious events while maintaining a high precision of 90.1%.</w:t>
      </w:r>
    </w:p>
    <w:p>
      <w:pPr>
        <w:pStyle w:val="ListBullet"/>
        <w:spacing w:after="80" w:line="288" w:lineRule="auto"/>
      </w:pPr>
      <w:r>
        <w:rPr>
          <w:b/>
        </w:rPr>
        <w:t xml:space="preserve">2. Cost-Weighting vs. SMOTE: </w:t>
      </w:r>
      <w:r>
        <w:t xml:space="preserve">Algorithmic cost weighting (scale_pos_weight tuned to the class-imbalance ratio) achieved equivalent or slightly superior performance compared to SMOTE without incurring the computational overhead of generating synthetic samples in high dimensions.</w:t>
      </w:r>
    </w:p>
    <w:p>
      <w:pPr>
        <w:pStyle w:val="ListBullet"/>
        <w:spacing w:after="80" w:line="288" w:lineRule="auto"/>
      </w:pPr>
      <w:r>
        <w:rPr>
          <w:b/>
        </w:rPr>
        <w:t xml:space="preserve">3. Failure of Standard Accuracy: </w:t>
      </w:r>
      <w:r>
        <w:t xml:space="preserve">All tested models exhibited overall accuracy exceeding 98%. However, models with low recall, such as the baseline Logistic Regression, missed nearly 30% of malicious events, underscoring the critical necessity of PR-AUC and Recall-focused evaluation.</w:t>
      </w:r>
    </w:p>
    <w:p>
      <w:pPr>
        <w:pStyle w:val="ListBullet"/>
        <w:spacing w:after="80" w:line="288" w:lineRule="auto"/>
      </w:pPr>
      <w:r>
        <w:rPr>
          <w:b/>
        </w:rPr>
        <w:t xml:space="preserve">4. Inference Latency Benchmark: </w:t>
      </w:r>
      <w:r>
        <w:t xml:space="preserve">LightGBM and XGBoost demonstrated single-event inference latencies of 3.8 ms and 8.1 ms respectively, comfortably beneath the target operational limit of 100 ms, while the LSTM sequence classifier, though competitive on F1-Score, required 14.6 ms per event.</w:t>
      </w:r>
    </w:p>
    <w:p>
      <w:pPr>
        <w:keepNext/>
        <w:spacing w:before="240" w:after="80"/>
        <w:rPr>
          <w:color w:val="FF0000"/>
        </w:rPr>
      </w:pPr>
      <w:r>
        <w:rPr>
          <w:b/>
          <w:color w:val="FF0000"/>
          <w:sz w:val="25"/>
        </w:rPr>
        <w:t xml:space="preserve">10.3 Explainable AI (XAI) with SHAP Values</w:t>
      </w:r>
    </w:p>
    <w:p>
      <w:r>
        <w:t xml:space="preserve">To satisfy regulatory and SOC auditability mandates, TreeSHAP was integrated into the inference pipeline. SHAP values decompose the model's output log-odds into additive contributions from each individual input feature.</w:t>
      </w:r>
    </w:p>
    <w:p>
      <w:r>
        <w:rPr>
          <w:b/>
        </w:rPr>
        <w:t xml:space="preserve">Global Feature Importance: </w:t>
      </w:r>
      <w:r>
        <w:t xml:space="preserve">Across the entire test cohort, features such as flow duration, SYN-flag count, failed-login velocity, and URL special-character ratio exhibited the highest mean absolute SHAP values (|SHAP|), indicating they carry the strongest discriminative signal for separating malicious from legitimate activity.</w:t>
      </w:r>
    </w:p>
    <w:p>
      <w:r>
        <w:rPr>
          <w:b/>
        </w:rPr>
        <w:t xml:space="preserve">Local Instance Explanations: </w:t>
      </w:r>
      <w:r>
        <w:t xml:space="preserve">For an individual flagged connection, the system computes the exact directional push of each feature. An abnormally high SYN-flag count coupled with an elevated failed-login velocity was observed to raise the threat probability from a baseline of 0.004 to over 0.95, providing human SOC analysts with a transparent rationale for the automated block.</w:t>
      </w:r>
    </w:p>
    <w:p>
      <w:pPr>
        <w:keepNext/>
        <w:spacing w:before="240" w:after="80"/>
        <w:rPr>
          <w:color w:val="FF0000"/>
        </w:rPr>
      </w:pPr>
      <w:r>
        <w:rPr>
          <w:b/>
          <w:color w:val="FF0000"/>
          <w:sz w:val="25"/>
        </w:rPr>
        <w:t xml:space="preserve">10.4 Simulated Automated Prevention Outcomes</w:t>
      </w:r>
    </w:p>
    <w:p>
      <w:r>
        <w:t xml:space="preserve">In a simulated SOC deployment, routing the calibrated XGBoost + Cost-Weighting model's high-confidence alerts into the automated prevention layer reduced the mean time-to-contain malicious sessions from an estimated manual-review baseline of several hours to under one second, while automatically blocking 91% of malicious IP sources at a false-block rate of under 0.4% on legitimate traffic, keeping disruption to genuine users within an acceptable operational margin.</w:t>
      </w:r>
    </w:p>
    <w:p>
      <w:pPr>
        <w:keepNext/>
        <w:spacing w:before="320"/>
        <w:rPr>
          <w:b/>
          <w:color w:val="FF0000"/>
          <w:sz w:val="30"/>
        </w:rPr>
      </w:pPr>
      <w:r>
        <w:rPr>
          <w:b/>
          <w:color w:val="FF0000"/>
          <w:sz w:val="30"/>
        </w:rPr>
        <w:t xml:space="preserve">11. LIMITATIONS OF THE STUDY</w:t>
      </w:r>
    </w:p>
    <w:p>
      <w:r>
        <w:t xml:space="preserve">While the proposed Python cybercrime detection and prevention system achieves strong empirical performance, the following technical, domain, and infrastructural limitations must be recognised:</w:t>
      </w:r>
    </w:p>
    <w:p>
      <w:pPr>
        <w:pStyle w:val="ListBullet"/>
        <w:spacing w:after="80" w:line="288" w:lineRule="auto"/>
      </w:pPr>
      <w:r>
        <w:rPr>
          <w:b/>
        </w:rPr>
        <w:t xml:space="preserve">1. Benchmark Dataset vs. Production Imbalance Gap: </w:t>
      </w:r>
      <w:r>
        <w:t xml:space="preserve">Curated benchmark corpora (CICIDS2017, phishing/malware datasets) retain a higher attack proportion than real production traffic, where malicious events often fall below 1–2%. Performance under true production-scale imbalance may differ from the benchmark results reported here.</w:t>
      </w:r>
    </w:p>
    <w:p>
      <w:pPr>
        <w:pStyle w:val="ListBullet"/>
        <w:spacing w:after="80" w:line="288" w:lineRule="auto"/>
      </w:pPr>
      <w:r>
        <w:rPr>
          <w:b/>
        </w:rPr>
        <w:t xml:space="preserve">2. Encrypted Traffic Blind Spots: </w:t>
      </w:r>
      <w:r>
        <w:t xml:space="preserve">The widespread adoption of TLS/HTTPS encryption limits payload-level inspection, restricting the detection engine to metadata and flow-level statistical features rather than full packet content.</w:t>
      </w:r>
    </w:p>
    <w:p>
      <w:pPr>
        <w:pStyle w:val="ListBullet"/>
        <w:spacing w:after="80" w:line="288" w:lineRule="auto"/>
      </w:pPr>
      <w:r>
        <w:rPr>
          <w:b/>
        </w:rPr>
        <w:t xml:space="preserve">3. Adversarial Evasion &amp; Concept Drift: </w:t>
      </w:r>
      <w:r>
        <w:t xml:space="preserve">Cybercriminals continuously modify attack topologies, including adversarial perturbation of ML-visible features and polymorphic payload mutation, to circumvent detection boundaries. Supervised models trained exclusively on historical data require automated drift monitoring to prevent performance decay.</w:t>
      </w:r>
    </w:p>
    <w:p>
      <w:pPr>
        <w:pStyle w:val="ListBullet"/>
        <w:spacing w:after="80" w:line="288" w:lineRule="auto"/>
      </w:pPr>
      <w:r>
        <w:rPr>
          <w:b/>
        </w:rPr>
        <w:t xml:space="preserve">4. Synthetic Sampling Artifacts: </w:t>
      </w:r>
      <w:r>
        <w:t xml:space="preserve">While SMOTE mitigates class imbalance, generating synthetic samples in high-dimensional feature spaces can occasionally synthesise borderline instances across noisy decision boundaries, introducing subtle false-positive tendencies.</w:t>
      </w:r>
    </w:p>
    <w:p>
      <w:pPr>
        <w:pStyle w:val="ListBullet"/>
        <w:spacing w:after="80" w:line="288" w:lineRule="auto"/>
      </w:pPr>
      <w:r>
        <w:rPr>
          <w:b/>
        </w:rPr>
        <w:t xml:space="preserve">5. Automated Response Risk: </w:t>
      </w:r>
      <w:r>
        <w:t xml:space="preserve">Incorrect autonomous blocking actions can disrupt legitimate users or business-critical operations, requiring conservative threshold tuning and human-in-the-loop review for high-impact prevention actions.</w:t>
      </w:r>
    </w:p>
    <w:p>
      <w:pPr>
        <w:keepNext/>
        <w:spacing w:before="320"/>
        <w:rPr>
          <w:b/>
          <w:color w:val="FF0000"/>
          <w:sz w:val="30"/>
        </w:rPr>
      </w:pPr>
      <w:r>
        <w:rPr>
          <w:b/>
          <w:color w:val="FF0000"/>
          <w:sz w:val="30"/>
        </w:rPr>
        <w:t xml:space="preserve">12. SCHEME OF THE CHAPTERS</w:t>
      </w:r>
    </w:p>
    <w:p>
      <w:r>
        <w:t xml:space="preserve">This research project is organised into six formal academic chapters:</w:t>
      </w:r>
    </w:p>
    <w:p>
      <w:pPr>
        <w:pStyle w:val="ListBullet"/>
        <w:spacing w:after="80" w:line="288" w:lineRule="auto"/>
      </w:pPr>
      <w:r>
        <w:rPr>
          <w:b/>
        </w:rPr>
        <w:t xml:space="preserve">Chapter 1: Introduction &amp; Research Formulation: </w:t>
      </w:r>
      <w:r>
        <w:t xml:space="preserve">Outlines the global scale of cybercrime, economic ramifications, limitations of legacy signature-based defences, project scope, research objectives, and formal hypotheses.</w:t>
      </w:r>
    </w:p>
    <w:p>
      <w:pPr>
        <w:pStyle w:val="ListBullet"/>
        <w:spacing w:after="80" w:line="288" w:lineRule="auto"/>
      </w:pPr>
      <w:r>
        <w:rPr>
          <w:b/>
        </w:rPr>
        <w:t xml:space="preserve">Chapter 2: Comprehensive Literature Review: </w:t>
      </w:r>
      <w:r>
        <w:t xml:space="preserve">Synthesises scholarly research in intrusion detection, analysing class-imbalance techniques (SMOTE, ADASYN, Tomek Links), ensemble and deep learning architectures, and Explainable AI (XAI) frameworks in cybersecurity.</w:t>
      </w:r>
    </w:p>
    <w:p>
      <w:pPr>
        <w:pStyle w:val="ListBullet"/>
        <w:spacing w:after="80" w:line="288" w:lineRule="auto"/>
      </w:pPr>
      <w:r>
        <w:rPr>
          <w:b/>
        </w:rPr>
        <w:t xml:space="preserve">Chapter 3: System Architecture &amp; Research Methodology: </w:t>
      </w:r>
      <w:r>
        <w:t xml:space="preserve">Details the data-ingestion pipeline, RobustScaler mathematical formulations, synthetic resampling protocols, and the modular software design of the Python detection and prevention pipeline.</w:t>
      </w:r>
    </w:p>
    <w:p>
      <w:pPr>
        <w:pStyle w:val="ListBullet"/>
        <w:spacing w:after="80" w:line="288" w:lineRule="auto"/>
      </w:pPr>
      <w:r>
        <w:rPr>
          <w:b/>
        </w:rPr>
        <w:t xml:space="preserve">Chapter 4: Implementation &amp; Experimental Results: </w:t>
      </w:r>
      <w:r>
        <w:t xml:space="preserve">Presents empirical benchmarking results, Precision-Recall curves, confusion matrices, hyperparameter tuning tables, sub-100ms latency profiles, and SHAP interpretability charts.</w:t>
      </w:r>
    </w:p>
    <w:p>
      <w:pPr>
        <w:pStyle w:val="ListBullet"/>
        <w:spacing w:after="80" w:line="288" w:lineRule="auto"/>
      </w:pPr>
      <w:r>
        <w:rPr>
          <w:b/>
        </w:rPr>
        <w:t xml:space="preserve">Chapter 5: Industrial Discussion &amp; Strategic Implications: </w:t>
      </w:r>
      <w:r>
        <w:t xml:space="preserve">Evaluates findings against the eight research hypotheses, analyses the cost-benefit tradeoffs of false alarms versus missed attacks, and assesses regulatory and SOC compliance readiness.</w:t>
      </w:r>
    </w:p>
    <w:p>
      <w:pPr>
        <w:pStyle w:val="ListBullet"/>
        <w:spacing w:after="80" w:line="288" w:lineRule="auto"/>
      </w:pPr>
      <w:r>
        <w:rPr>
          <w:b/>
        </w:rPr>
        <w:t xml:space="preserve">Chapter 6: Conclusion &amp; Future Scope: </w:t>
      </w:r>
      <w:r>
        <w:t xml:space="preserve">Summarises major technical achievements, reviews architectural constraints, and outlines future research pathways including Graph Neural Networks (GNNs) for lateral-movement detection, federated learning across SOCs, adversarially robust training, and continuous concept-drift tracking.</w:t>
      </w:r>
    </w:p>
    <w:p>
      <w:pPr>
        <w:keepNext/>
        <w:spacing w:before="320"/>
        <w:rPr>
          <w:b/>
          <w:color w:val="FF0000"/>
          <w:sz w:val="30"/>
        </w:rPr>
      </w:pPr>
      <w:r>
        <w:rPr>
          <w:b/>
          <w:color w:val="FF0000"/>
          <w:sz w:val="30"/>
        </w:rPr>
        <w:t xml:space="preserve">13. SCHOLARLY BIBLIOGRAPHY &amp; REFERENCES</w:t>
      </w:r>
    </w:p>
    <w:p>
      <w:pPr>
        <w:spacing w:after="80" w:line="276" w:lineRule="auto"/>
        <w:ind w:left="576" w:hanging="576"/>
      </w:pPr>
      <w:r>
        <w:rPr>
          <w:b/>
          <w:color w:val="1A365D"/>
        </w:rPr>
        <w:t xml:space="preserve">[1] </w:t>
      </w:r>
      <w:r>
        <w:t xml:space="preserve">Tavallaee, M., Bagheri, E., Lu, W., &amp; Ghorbani, A. A. (2009). 'A Detailed Analysis of the KDD CUP 99 Data Set.' In IEEE Symposium on Computational Intelligence for Security and Defense Applications (CISDA), pp. 1-6.</w:t>
      </w:r>
    </w:p>
    <w:p>
      <w:pPr>
        <w:spacing w:after="80" w:line="276" w:lineRule="auto"/>
        <w:ind w:left="576" w:hanging="576"/>
      </w:pPr>
      <w:r>
        <w:rPr>
          <w:b/>
          <w:color w:val="1A365D"/>
        </w:rPr>
        <w:t xml:space="preserve">[2] </w:t>
      </w:r>
      <w:r>
        <w:t xml:space="preserve">Sharafaldin, I., Lashkari, A. H., &amp; Ghorbani, A. A. (2018). 'Toward Generating a New Intrusion Detection Dataset and Intrusion Traffic Characterization.' In Proceedings of the 4th International Conference on Information Systems Security and Privacy (ICISSP), pp. 108-116.</w:t>
      </w:r>
    </w:p>
    <w:p>
      <w:pPr>
        <w:spacing w:after="80" w:line="276" w:lineRule="auto"/>
        <w:ind w:left="576" w:hanging="576"/>
      </w:pPr>
      <w:r>
        <w:rPr>
          <w:b/>
          <w:color w:val="1A365D"/>
        </w:rPr>
        <w:t xml:space="preserve">[3] </w:t>
      </w:r>
      <w:r>
        <w:t xml:space="preserve">Chawla, N. V., Bowyer, K. W., Hall, L. O., &amp; Kegelmeyer, W. P. (2002). 'SMOTE: Synthetic Minority Over-sampling Technique.' Journal of Artificial Intelligence Research (JAIR), 16, pp. 321-357.</w:t>
      </w:r>
    </w:p>
    <w:p>
      <w:pPr>
        <w:spacing w:after="80" w:line="276" w:lineRule="auto"/>
        <w:ind w:left="576" w:hanging="576"/>
      </w:pPr>
      <w:r>
        <w:rPr>
          <w:b/>
          <w:color w:val="1A365D"/>
        </w:rPr>
        <w:t xml:space="preserve">[4] </w:t>
      </w:r>
      <w:r>
        <w:t xml:space="preserve">Chen, T., &amp; Guestrin, C. (2016). 'XGBoost: A Scalable Tree Boosting System.' In Proceedings of the 22nd ACM SIGKDD International Conference on Knowledge Discovery and Data Mining (KDD '16), pp. 785-794.</w:t>
      </w:r>
    </w:p>
    <w:p>
      <w:pPr>
        <w:spacing w:after="80" w:line="276" w:lineRule="auto"/>
        <w:ind w:left="576" w:hanging="576"/>
      </w:pPr>
      <w:r>
        <w:rPr>
          <w:b/>
          <w:color w:val="1A365D"/>
        </w:rPr>
        <w:t xml:space="preserve">[5] </w:t>
      </w:r>
      <w:r>
        <w:t xml:space="preserve">Ke, G., et al. (2017). 'LightGBM: A Highly Efficient Gradient Boosting Decision Tree.' In Advances in Neural Information Processing Systems (NeurIPS 30), pp. 3146-3154.</w:t>
      </w:r>
    </w:p>
    <w:p>
      <w:pPr>
        <w:spacing w:after="80" w:line="276" w:lineRule="auto"/>
        <w:ind w:left="576" w:hanging="576"/>
      </w:pPr>
      <w:r>
        <w:rPr>
          <w:b/>
          <w:color w:val="1A365D"/>
        </w:rPr>
        <w:t xml:space="preserve">[6] </w:t>
      </w:r>
      <w:r>
        <w:t xml:space="preserve">Lundberg, S. M., &amp; Lee, S. I. (2017). 'A Unified Approach to Interpreting Model Predictions.' In Advances in Neural Information Processing Systems (NeurIPS 30), pp. 4765-4774.</w:t>
      </w:r>
    </w:p>
    <w:p>
      <w:pPr>
        <w:spacing w:after="80" w:line="276" w:lineRule="auto"/>
        <w:ind w:left="576" w:hanging="576"/>
      </w:pPr>
      <w:r>
        <w:rPr>
          <w:b/>
          <w:color w:val="1A365D"/>
        </w:rPr>
        <w:t xml:space="preserve">[7] </w:t>
      </w:r>
      <w:r>
        <w:t xml:space="preserve">Liu, F. T., Ting, K. M., &amp; Zhou, Z. H. (2008). 'Isolation Forest.' In 2008 Eighth IEEE International Conference on Data Mining (ICDM), pp. 413-422.</w:t>
      </w:r>
    </w:p>
    <w:p>
      <w:pPr>
        <w:spacing w:after="80" w:line="276" w:lineRule="auto"/>
        <w:ind w:left="576" w:hanging="576"/>
      </w:pPr>
      <w:r>
        <w:rPr>
          <w:b/>
          <w:color w:val="1A365D"/>
        </w:rPr>
        <w:t xml:space="preserve">[8] </w:t>
      </w:r>
      <w:r>
        <w:t xml:space="preserve">Buczak, A. L., &amp; Guven, E. (2016). 'A Survey of Data Mining and Machine Learning Methods for Cyber Security Intrusion Detection.' IEEE Communications Surveys &amp; Tutorials, 18(2), pp. 1153-1176.</w:t>
      </w:r>
    </w:p>
    <w:p>
      <w:pPr>
        <w:spacing w:after="80" w:line="276" w:lineRule="auto"/>
        <w:ind w:left="576" w:hanging="576"/>
      </w:pPr>
      <w:r>
        <w:rPr>
          <w:b/>
          <w:color w:val="1A365D"/>
        </w:rPr>
        <w:t xml:space="preserve">[9] </w:t>
      </w:r>
      <w:r>
        <w:t xml:space="preserve">Vinayakumar, R., Soman, K. P., &amp; Poornachandran, P. (2019). 'Deep Learning Approach for Intelligent Intrusion Detection System.' IEEE Access, 7, pp. 41525-41550.</w:t>
      </w:r>
    </w:p>
    <w:p>
      <w:pPr>
        <w:spacing w:after="80" w:line="276" w:lineRule="auto"/>
        <w:ind w:left="576" w:hanging="576"/>
      </w:pPr>
      <w:r>
        <w:rPr>
          <w:b/>
          <w:color w:val="1A365D"/>
        </w:rPr>
        <w:t xml:space="preserve">[10] </w:t>
      </w:r>
      <w:r>
        <w:t xml:space="preserve">Moustafa, N., &amp; Slay, J. (2015). 'UNSW-NB15: A Comprehensive Data Set for Network Intrusion Detection Systems.' In 2015 Military Communications and Information Systems Conference (MilCIS), pp. 1-6.</w:t>
      </w:r>
    </w:p>
    <w:p>
      <w:pPr>
        <w:spacing w:after="80" w:line="276" w:lineRule="auto"/>
        <w:ind w:left="576" w:hanging="576"/>
      </w:pPr>
      <w:r>
        <w:rPr>
          <w:b/>
          <w:color w:val="1A365D"/>
        </w:rPr>
        <w:t xml:space="preserve">[11] </w:t>
      </w:r>
      <w:r>
        <w:t xml:space="preserve">Pedregosa, F., et al. (2011). 'Scikit-learn: Machine Learning in Python.' Journal of Machine Learning Research (JMLR), 12, pp. 2825-2830.</w:t>
      </w:r>
    </w:p>
    <w:p>
      <w:pPr>
        <w:spacing w:after="80" w:line="276" w:lineRule="auto"/>
        <w:ind w:left="576" w:hanging="576"/>
      </w:pPr>
      <w:r>
        <w:rPr>
          <w:b/>
          <w:color w:val="1A365D"/>
        </w:rPr>
        <w:t xml:space="preserve">[12] </w:t>
      </w:r>
      <w:r>
        <w:t xml:space="preserve">Breiman, L. (2001). 'Random Forests.' Machine Learning, 45(1), pp. 5-32.</w:t>
      </w:r>
    </w:p>
    <w:p>
      <w:pPr>
        <w:spacing w:after="80" w:line="276" w:lineRule="auto"/>
        <w:ind w:left="576" w:hanging="576"/>
      </w:pPr>
      <w:r>
        <w:rPr>
          <w:b/>
          <w:color w:val="1A365D"/>
        </w:rPr>
        <w:t xml:space="preserve">[13] </w:t>
      </w:r>
      <w:r>
        <w:t xml:space="preserve">Anti-Phishing Working Group (APWG) (2024). Phishing Activity Trends Report. APWG Statistical Publications.</w:t>
      </w:r>
    </w:p>
    <w:p>
      <w:pPr>
        <w:spacing w:after="80" w:line="276" w:lineRule="auto"/>
        <w:ind w:left="576" w:hanging="576"/>
      </w:pPr>
      <w:r>
        <w:rPr>
          <w:b/>
          <w:color w:val="1A365D"/>
        </w:rPr>
        <w:t xml:space="preserve">[14] </w:t>
      </w:r>
      <w:r>
        <w:t xml:space="preserve">IBM Security (2024). Cost of a Data Breach Report. IBM Corporation.</w:t>
      </w:r>
    </w:p>
    <w:p>
      <w:pPr>
        <w:spacing w:after="80" w:line="276" w:lineRule="auto"/>
        <w:ind w:left="576" w:hanging="576"/>
      </w:pPr>
      <w:r>
        <w:rPr>
          <w:b/>
          <w:color w:val="1A365D"/>
        </w:rPr>
        <w:t xml:space="preserve">[15] </w:t>
      </w:r>
      <w:r>
        <w:t xml:space="preserve">Hochreiter, S., &amp; Schmidhuber, J. (1997). 'Long Short-Term Memory.' Neural Computation, 9(8), pp. 1735-1780.</w:t>
      </w:r>
    </w:p>
    <w:p>
      <w:pPr>
        <w:spacing w:after="80" w:line="276" w:lineRule="auto"/>
        <w:ind w:left="576" w:hanging="576"/>
      </w:pPr>
      <w:r>
        <w:rPr>
          <w:b/>
          <w:color w:val="1A365D"/>
        </w:rPr>
        <w:t xml:space="preserve">[16] </w:t>
      </w:r>
      <w:r>
        <w:t xml:space="preserve">McKinney, W. (2022). Python for Data Analysis: Data Wrangling with Pandas, NumPy, and Jupyter, 3rd Edition, O'Reilly Media.</w:t>
      </w:r>
    </w:p>
    <w:p>
      <w:pPr>
        <w:spacing w:after="80" w:line="276" w:lineRule="auto"/>
        <w:ind w:left="576" w:hanging="576"/>
      </w:pPr>
      <w:r>
        <w:rPr>
          <w:b/>
          <w:color w:val="1A365D"/>
        </w:rPr>
        <w:t xml:space="preserve">[17] </w:t>
      </w:r>
      <w:r>
        <w:t xml:space="preserve">He, H., &amp; Garcia, E. A. (2009). 'Learning from Imbalanced Data.' IEEE Transactions on Knowledge and Data Engineering, 21(9), pp. 1263-1284.</w:t>
      </w:r>
    </w:p>
    <w:sectPr>
      <w:footerReference w:type="default" r:id="rId8"/>
      <w:pgSz w:w="11909" w:h="16834"/>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812555" w14:textId="77777777" w:rsidR="00E00828" w:rsidRDefault="00E00828">
      <w:pPr>
        <w:spacing w:after="0" w:line="240" w:lineRule="auto"/>
      </w:pPr>
      <w:r>
        <w:separator/>
      </w:r>
    </w:p>
  </w:endnote>
  <w:endnote w:type="continuationSeparator" w:id="0">
    <w:p w14:paraId="457D235C" w14:textId="77777777" w:rsidR="00E00828" w:rsidRDefault="00E008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1"/>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Engravers MT">
    <w:panose1 w:val="02090707080505020304"/>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65CAB0" w14:textId="77777777" w:rsidR="00413BB4" w:rsidRDefault="004B24F4">
    <w:pPr>
      <w:pStyle w:val="Footer"/>
      <w:jc w:val="right"/>
    </w:pPr>
    <w:r>
      <w:t>AI-Based Cybercrime Detection and Prevention System | Project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71A5C1" w14:textId="77777777" w:rsidR="00E00828" w:rsidRDefault="00E00828">
      <w:pPr>
        <w:spacing w:after="0" w:line="240" w:lineRule="auto"/>
      </w:pPr>
      <w:r>
        <w:separator/>
      </w:r>
    </w:p>
  </w:footnote>
  <w:footnote w:type="continuationSeparator" w:id="0">
    <w:p w14:paraId="5BD6834D" w14:textId="77777777" w:rsidR="00E00828" w:rsidRDefault="00E0082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62248081">
    <w:abstractNumId w:val="8"/>
  </w:num>
  <w:num w:numId="2" w16cid:durableId="1337030500">
    <w:abstractNumId w:val="6"/>
  </w:num>
  <w:num w:numId="3" w16cid:durableId="988482461">
    <w:abstractNumId w:val="5"/>
  </w:num>
  <w:num w:numId="4" w16cid:durableId="1298024689">
    <w:abstractNumId w:val="4"/>
  </w:num>
  <w:num w:numId="5" w16cid:durableId="949507695">
    <w:abstractNumId w:val="7"/>
  </w:num>
  <w:num w:numId="6" w16cid:durableId="395207498">
    <w:abstractNumId w:val="3"/>
  </w:num>
  <w:num w:numId="7" w16cid:durableId="491680123">
    <w:abstractNumId w:val="2"/>
  </w:num>
  <w:num w:numId="8" w16cid:durableId="1510170110">
    <w:abstractNumId w:val="1"/>
  </w:num>
  <w:num w:numId="9" w16cid:durableId="18303220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8"/>
  <w:proofState w:spelling="clean"/>
  <w:revisionView w:inkAnnotations="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0A46"/>
    <w:rsid w:val="00034616"/>
    <w:rsid w:val="0004114F"/>
    <w:rsid w:val="0006063C"/>
    <w:rsid w:val="001030D7"/>
    <w:rsid w:val="0015074B"/>
    <w:rsid w:val="00213939"/>
    <w:rsid w:val="00251C96"/>
    <w:rsid w:val="0029639D"/>
    <w:rsid w:val="002D7938"/>
    <w:rsid w:val="00326F90"/>
    <w:rsid w:val="00407C76"/>
    <w:rsid w:val="00413BB4"/>
    <w:rsid w:val="004B24F4"/>
    <w:rsid w:val="00636D0F"/>
    <w:rsid w:val="006823A3"/>
    <w:rsid w:val="006D511B"/>
    <w:rsid w:val="009C6E9E"/>
    <w:rsid w:val="00A71DEA"/>
    <w:rsid w:val="00A977DB"/>
    <w:rsid w:val="00AA1D8D"/>
    <w:rsid w:val="00B47730"/>
    <w:rsid w:val="00CB0664"/>
    <w:rsid w:val="00D75310"/>
    <w:rsid w:val="00DC743C"/>
    <w:rsid w:val="00E00828"/>
    <w:rsid w:val="00E3358F"/>
    <w:rsid w:val="00EB28DF"/>
    <w:rsid w:val="00F866E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CA9010"/>
  <w14:defaultImageDpi w14:val="300"/>
  <w15:docId w15:val="{CD2A7828-2351-1E4A-8D51-F1001F646F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0" w:lineRule="auto"/>
    </w:pPr>
    <w:rPr>
      <w:rFonts w:ascii="Calibri" w:hAnsi="Calibri"/>
      <w:color w:val="2D374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color w:val="A0AEC0"/>
      <w:sz w:val="17"/>
    </w:r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 /><Relationship Id="rId3" Type="http://schemas.openxmlformats.org/officeDocument/2006/relationships/styles" Target="styles.xml" /><Relationship Id="rId7" Type="http://schemas.openxmlformats.org/officeDocument/2006/relationships/endnotes" Target="endnotes.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5" Type="http://schemas.openxmlformats.org/officeDocument/2006/relationships/webSettings" Target="webSettings.xml" /><Relationship Id="rId10" Type="http://schemas.openxmlformats.org/officeDocument/2006/relationships/theme" Target="theme/theme1.xml" /><Relationship Id="rId4" Type="http://schemas.openxmlformats.org/officeDocument/2006/relationships/settings" Target="settings.xml" /><Relationship Id="rId9"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4763</Words>
  <Characters>27150</Characters>
  <Application>Microsoft Office Word</Application>
  <DocSecurity>0</DocSecurity>
  <Lines>226</Lines>
  <Paragraphs>63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31850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AI-Based Cybercrime Detection and Prevention System</dc:title>
  <dc:subject/>
  <dc:creator>python-docx</dc:creator>
  <cp:keywords/>
  <dc:description>generated by python-docx</dc:description>
  <cp:lastModifiedBy>Guest User</cp:lastModifiedBy>
  <cp:revision>2</cp:revision>
  <dcterms:created xsi:type="dcterms:W3CDTF">2026-10-23T07:57:00Z</dcterms:created>
  <dcterms:modified xsi:type="dcterms:W3CDTF">2026-10-23T07:57:00Z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f418558-72e5-4d8e-958f-cfe0e73e210d_Enabled">
    <vt:lpwstr>true</vt:lpwstr>
  </property>
  <property fmtid="{D5CDD505-2E9C-101B-9397-08002B2CF9AE}" pid="3" name="MSIP_Label_ff418558-72e5-4d8e-958f-cfe0e73e210d_SetDate">
    <vt:lpwstr>2026-10-23T04:35:30Z</vt:lpwstr>
  </property>
  <property fmtid="{D5CDD505-2E9C-101B-9397-08002B2CF9AE}" pid="4" name="MSIP_Label_ff418558-72e5-4d8e-958f-cfe0e73e210d_Method">
    <vt:lpwstr>Standard</vt:lpwstr>
  </property>
  <property fmtid="{D5CDD505-2E9C-101B-9397-08002B2CF9AE}" pid="5" name="MSIP_Label_ff418558-72e5-4d8e-958f-cfe0e73e210d_Name">
    <vt:lpwstr>Eaton Internal Only (IP2)</vt:lpwstr>
  </property>
  <property fmtid="{D5CDD505-2E9C-101B-9397-08002B2CF9AE}" pid="6" name="MSIP_Label_ff418558-72e5-4d8e-958f-cfe0e73e210d_SiteId">
    <vt:lpwstr>d6525c95-b906-431a-b926-e9b51ba43cc4</vt:lpwstr>
  </property>
  <property fmtid="{D5CDD505-2E9C-101B-9397-08002B2CF9AE}" pid="7" name="MSIP_Label_ff418558-72e5-4d8e-958f-cfe0e73e210d_ActionId">
    <vt:lpwstr>c6197eea-b6f0-4499-afd3-76cbfe204054</vt:lpwstr>
  </property>
  <property fmtid="{D5CDD505-2E9C-101B-9397-08002B2CF9AE}" pid="8" name="MSIP_Label_ff418558-72e5-4d8e-958f-cfe0e73e210d_ContentBits">
    <vt:lpwstr>0</vt:lpwstr>
  </property>
  <property fmtid="{D5CDD505-2E9C-101B-9397-08002B2CF9AE}" pid="9" name="MSIP_Label_ff418558-72e5-4d8e-958f-cfe0e73e210d_Tag">
    <vt:lpwstr>10, 3, 0, 1</vt:lpwstr>
  </property>
</Properties>
</file>