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360"/>
              <w:left w:type="dxa" w:w="360"/>
              <w:bottom w:type="dxa" w:w="360"/>
              <w:right w:type="dxa" w:w="360"/>
            </w:tcMar>
          </w:tcPr>
          <w:p>
            <w:pPr>
              <w:spacing w:after="80"/>
              <w:jc w:val="center"/>
            </w:pPr>
            <w:r>
              <w:rPr>
                <w:b/>
                <w:bCs/>
                <w:caps/>
                <w:color w:val="FFFFFF"/>
                <w:sz w:val="44"/>
                <w:szCs w:val="44"/>
              </w:rPr>
              <w:t xml:space="preserve">MODEL EXPLANATION DOCUMENT</w:t>
            </w:r>
          </w:p>
          <w:p>
            <w:pPr>
              <w:spacing w:after="80"/>
              <w:jc w:val="center"/>
            </w:pPr>
            <w:r>
              <w:rPr>
                <w:i/>
                <w:iCs/>
                <w:color w:val="A8C4E8"/>
                <w:sz w:val="26"/>
                <w:szCs w:val="26"/>
              </w:rPr>
              <w:t xml:space="preserve">Detecting Financial Impulse Behaviour in Young Adults</w:t>
            </w:r>
          </w:p>
          <w:p>
            <w:pPr>
              <w:jc w:val="center"/>
            </w:pPr>
            <w:r>
              <w:rPr>
                <w:color w:val="7AA3CC"/>
                <w:sz w:val="19"/>
                <w:szCs w:val="19"/>
              </w:rPr>
              <w:t xml:space="preserve">Behavioural Analytics Hackathon  ·  Problem Statement 2</w:t>
            </w:r>
          </w:p>
        </w:tc>
      </w:tr>
    </w:tbl>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c>
          <w:tcPr>
            <w:tcW w:type="dxa" w:w="240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pPr>
              <w:spacing w:after="20"/>
            </w:pPr>
            <w:r>
              <w:rPr>
                <w:b/>
                <w:bCs/>
                <w:color w:val="1B3A6B"/>
                <w:sz w:val="17"/>
                <w:szCs w:val="17"/>
              </w:rPr>
              <w:t xml:space="preserve">Module</w:t>
            </w:r>
          </w:p>
          <w:p>
            <w:r>
              <w:rPr>
                <w:color w:val="1A1A2E"/>
                <w:sz w:val="17"/>
                <w:szCs w:val="17"/>
              </w:rPr>
              <w:t xml:space="preserve">bank_analyser</w:t>
            </w:r>
          </w:p>
        </w:tc>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tcPr>
          <w:p>
            <w:pPr>
              <w:spacing w:after="20"/>
            </w:pPr>
            <w:r>
              <w:rPr>
                <w:b/>
                <w:bCs/>
                <w:color w:val="1B3A6B"/>
                <w:sz w:val="17"/>
                <w:szCs w:val="17"/>
              </w:rPr>
              <w:t xml:space="preserve">Version</w:t>
            </w:r>
          </w:p>
          <w:p>
            <w:r>
              <w:rPr>
                <w:color w:val="1A1A2E"/>
                <w:sz w:val="17"/>
                <w:szCs w:val="17"/>
              </w:rPr>
              <w:t xml:space="preserve">1.0.0</w:t>
            </w:r>
          </w:p>
        </w:tc>
        <w:tc>
          <w:tcPr>
            <w:tcW w:type="dxa" w:w="2400"/>
            <w:tcBorders>
              <w:top w:val="single" w:color="2E5FA3" w:sz="1"/>
              <w:left w:val="single" w:color="2E5FA3" w:sz="1"/>
              <w:bottom w:val="single" w:color="2E5FA3" w:sz="1"/>
              <w:right w:val="single" w:color="2E5FA3" w:sz="1"/>
            </w:tcBorders>
            <w:shd w:fill="D6E4F7" w:val="clear"/>
            <w:tcMar>
              <w:top w:type="dxa" w:w="80"/>
              <w:left w:type="dxa" w:w="120"/>
              <w:bottom w:type="dxa" w:w="80"/>
              <w:right w:type="dxa" w:w="120"/>
            </w:tcMar>
          </w:tcPr>
          <w:p>
            <w:pPr>
              <w:spacing w:after="20"/>
            </w:pPr>
            <w:r>
              <w:rPr>
                <w:b/>
                <w:bCs/>
                <w:color w:val="1B3A6B"/>
                <w:sz w:val="17"/>
                <w:szCs w:val="17"/>
              </w:rPr>
              <w:t xml:space="preserve">Language</w:t>
            </w:r>
          </w:p>
          <w:p>
            <w:r>
              <w:rPr>
                <w:color w:val="1A1A2E"/>
                <w:sz w:val="17"/>
                <w:szCs w:val="17"/>
              </w:rPr>
              <w:t xml:space="preserve">Python 3.10+</w:t>
            </w:r>
          </w:p>
        </w:tc>
        <w:tc>
          <w:tcPr>
            <w:tcW w:type="dxa" w:w="288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tcPr>
          <w:p>
            <w:pPr>
              <w:spacing w:after="20"/>
            </w:pPr>
            <w:r>
              <w:rPr>
                <w:b/>
                <w:bCs/>
                <w:color w:val="1B3A6B"/>
                <w:sz w:val="17"/>
                <w:szCs w:val="17"/>
              </w:rPr>
              <w:t xml:space="preserve">Classification</w:t>
            </w:r>
          </w:p>
          <w:p>
            <w:r>
              <w:rPr>
                <w:color w:val="1A1A2E"/>
                <w:sz w:val="17"/>
                <w:szCs w:val="17"/>
              </w:rPr>
              <w:t xml:space="preserve">Unsupervised + Supervised ML</w:t>
            </w:r>
          </w:p>
        </w:tc>
      </w:tr>
    </w:tbl>
    <w:p>
      <w:pPr>
        <w:spacing w:before="160" w:after="160"/>
      </w:pPr>
      <w:r>
        <w:t xml:space="preserve"/>
      </w:r>
    </w:p>
    <w:p>
      <w:pPr>
        <w:pStyle w:val="Heading1"/>
        <w:pBdr>
          <w:bottom w:val="single" w:color="E05C1A" w:sz="4"/>
        </w:pBdr>
        <w:shd w:fill="1B3A6B" w:val="clear"/>
        <w:spacing w:before="240" w:after="120"/>
        <w:ind w:left="120" w:right="120"/>
      </w:pPr>
      <w:r>
        <w:rPr>
          <w:b/>
          <w:bCs/>
          <w:color w:val="FFFFFF"/>
          <w:sz w:val="26"/>
          <w:szCs w:val="26"/>
        </w:rPr>
        <w:t xml:space="preserve">1.  Problem Understanding</w:t>
      </w:r>
    </w:p>
    <w:p>
      <w:pPr>
        <w:spacing w:before="60" w:after="60"/>
      </w:pPr>
      <w:r>
        <w:t xml:space="preserve"/>
      </w:r>
    </w:p>
    <w:p>
      <w:pPr>
        <w:pStyle w:val="Heading2"/>
        <w:pBdr>
          <w:bottom w:val="single" w:color="1A7F8E" w:sz="2" w:space="2"/>
        </w:pBdr>
        <w:spacing w:before="200" w:after="80"/>
      </w:pPr>
      <w:r>
        <w:rPr>
          <w:b/>
          <w:bCs/>
          <w:color w:val="1B3A6B"/>
          <w:sz w:val="22"/>
          <w:szCs w:val="22"/>
        </w:rPr>
        <w:t xml:space="preserve">1.1  Background &amp; Motivation</w:t>
      </w:r>
    </w:p>
    <w:p>
      <w:pPr>
        <w:spacing w:before="40" w:after="40"/>
        <w:jc w:val="both"/>
      </w:pPr>
      <w:r>
        <w:rPr>
          <w:color w:val="1A1A2E"/>
          <w:sz w:val="19"/>
          <w:szCs w:val="19"/>
        </w:rPr>
        <w:t xml:space="preserve">Young adults (age 18–30) are increasingly managing their finances through digital payment channels — UPI, contactless cards, and buy-now-pay-later services. The frictionless nature of these platforms reduces cognitive resistance to spending, amplifying impulsive financial behaviour. Left unaddressed, this leads to negative savings rates, debt accumulation, and financial stress.</w:t>
      </w:r>
    </w:p>
    <w:p>
      <w:pPr>
        <w:spacing w:before="40" w:after="40"/>
        <w:jc w:val="both"/>
      </w:pPr>
      <w:r>
        <w:rPr>
          <w:color w:val="1A1A2E"/>
          <w:sz w:val="19"/>
          <w:szCs w:val="19"/>
        </w:rPr>
        <w:t xml:space="preserve">Traditional financial wellness tools rely on static budgets set by the user. They do not adapt to behavioural patterns, cannot detect emerging impulsive cycles, and do not personalise interventions. There is a clear gap for a system that learns a user's own spending baseline and flags meaningful deviations in real time.</w:t>
      </w:r>
    </w:p>
    <w:p>
      <w:pPr>
        <w:spacing w:before="60" w:after="60"/>
      </w:pPr>
      <w:r>
        <w:t xml:space="preserve"/>
      </w:r>
    </w:p>
    <w:p>
      <w:pPr>
        <w:pStyle w:val="Heading2"/>
        <w:pBdr>
          <w:bottom w:val="single" w:color="1A7F8E" w:sz="2" w:space="2"/>
        </w:pBdr>
        <w:spacing w:before="200" w:after="80"/>
      </w:pPr>
      <w:r>
        <w:rPr>
          <w:b/>
          <w:bCs/>
          <w:color w:val="1B3A6B"/>
          <w:sz w:val="22"/>
          <w:szCs w:val="22"/>
        </w:rPr>
        <w:t xml:space="preserve">1.2  Objective</w:t>
      </w:r>
    </w:p>
    <w:p>
      <w:pPr>
        <w:spacing w:before="40" w:after="40"/>
        <w:jc w:val="both"/>
      </w:pPr>
      <w:r>
        <w:rPr>
          <w:color w:val="1A1A2E"/>
          <w:sz w:val="19"/>
          <w:szCs w:val="19"/>
        </w:rPr>
        <w:t xml:space="preserve">Design an intelligent, data-driven pipeline that:</w:t>
      </w:r>
    </w:p>
    <w:p>
      <w:pPr>
        <w:pStyle w:val="ListParagraph"/>
        <w:numPr>
          <w:ilvl w:val="0"/>
          <w:numId w:val="2"/>
        </w:numPr>
        <w:spacing w:before="30" w:after="30"/>
      </w:pPr>
      <w:r>
        <w:rPr>
          <w:color w:val="1A1A2E"/>
          <w:sz w:val="19"/>
          <w:szCs w:val="19"/>
        </w:rPr>
        <w:t xml:space="preserve">Ingests raw bank statement data uploaded by users through a web interface.</w:t>
      </w:r>
    </w:p>
    <w:p>
      <w:pPr>
        <w:pStyle w:val="ListParagraph"/>
        <w:numPr>
          <w:ilvl w:val="0"/>
          <w:numId w:val="2"/>
        </w:numPr>
        <w:spacing w:before="30" w:after="30"/>
      </w:pPr>
      <w:r>
        <w:rPr>
          <w:color w:val="1A1A2E"/>
          <w:sz w:val="19"/>
          <w:szCs w:val="19"/>
        </w:rPr>
        <w:t xml:space="preserve">Automatically detects spending categories and behavioural signals — without any hardcoded assumptions about the user's income level or lifestyle.</w:t>
      </w:r>
    </w:p>
    <w:p>
      <w:pPr>
        <w:pStyle w:val="ListParagraph"/>
        <w:numPr>
          <w:ilvl w:val="0"/>
          <w:numId w:val="2"/>
        </w:numPr>
        <w:spacing w:before="30" w:after="30"/>
      </w:pPr>
      <w:r>
        <w:rPr>
          <w:color w:val="1A1A2E"/>
          <w:sz w:val="19"/>
          <w:szCs w:val="19"/>
        </w:rPr>
        <w:t xml:space="preserve">Computes a personalised Impulse Risk Score (0–100) using an ML ensemble that adapts thresholds to each user's own distribution.</w:t>
      </w:r>
    </w:p>
    <w:p>
      <w:pPr>
        <w:pStyle w:val="ListParagraph"/>
        <w:numPr>
          <w:ilvl w:val="0"/>
          <w:numId w:val="2"/>
        </w:numPr>
        <w:spacing w:before="30" w:after="30"/>
      </w:pPr>
      <w:r>
        <w:rPr>
          <w:color w:val="1A1A2E"/>
          <w:sz w:val="19"/>
          <w:szCs w:val="19"/>
        </w:rPr>
        <w:t xml:space="preserve">Identifies recurring behavioural archetypes and delivers targeted nudges to reduce financial impulsivity.</w:t>
      </w:r>
    </w:p>
    <w:p>
      <w:pPr>
        <w:spacing w:before="60" w:after="60"/>
      </w:pPr>
      <w:r>
        <w:t xml:space="preserve"/>
      </w:r>
    </w:p>
    <w:p>
      <w:pPr>
        <w:pStyle w:val="Heading2"/>
        <w:pBdr>
          <w:bottom w:val="single" w:color="1A7F8E" w:sz="2" w:space="2"/>
        </w:pBdr>
        <w:spacing w:before="200" w:after="80"/>
      </w:pPr>
      <w:r>
        <w:rPr>
          <w:b/>
          <w:bCs/>
          <w:color w:val="1B3A6B"/>
          <w:sz w:val="22"/>
          <w:szCs w:val="22"/>
        </w:rPr>
        <w:t xml:space="preserve">1.3  Scope &amp;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80"/>
      </w:tblGrid>
      <w:tr>
        <w:trPr>
          <w:tblHeader/>
        </w:trPr>
        <w:tc>
          <w:tcPr>
            <w:tcW w:type="dxa" w:w="3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Scope Item</w:t>
            </w:r>
          </w:p>
        </w:tc>
        <w:tc>
          <w:tcPr>
            <w:tcW w:type="dxa" w:w="3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Decision</w:t>
            </w:r>
          </w:p>
        </w:tc>
        <w:tc>
          <w:tcPr>
            <w:tcW w:type="dxa" w:w="38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Rationale</w:t>
            </w:r>
          </w:p>
        </w:tc>
      </w:tr>
      <w:tr>
        <w:tc>
          <w:tcPr>
            <w:tcW w:type="dxa" w:w="3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Data source</w:t>
            </w:r>
          </w:p>
        </w:tc>
        <w:tc>
          <w:tcPr>
            <w:tcW w:type="dxa" w:w="32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Single user's bank statement (1–2 financial years)</w:t>
            </w:r>
          </w:p>
        </w:tc>
        <w:tc>
          <w:tcPr>
            <w:tcW w:type="dxa" w:w="38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Real-world upload context; no cross-user data sharing</w:t>
            </w:r>
          </w:p>
        </w:tc>
      </w:tr>
      <w:tr>
        <w:tc>
          <w:tcPr>
            <w:tcW w:type="dxa" w:w="3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Granularity</w:t>
            </w:r>
          </w:p>
        </w:tc>
        <w:tc>
          <w:tcPr>
            <w:tcW w:type="dxa" w:w="32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Monthly aggregation for ML modelling</w:t>
            </w:r>
          </w:p>
        </w:tc>
        <w:tc>
          <w:tcPr>
            <w:tcW w:type="dxa" w:w="38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Insufficient within-month data points for daily modelling</w:t>
            </w:r>
          </w:p>
        </w:tc>
      </w:tr>
      <w:tr>
        <w:tc>
          <w:tcPr>
            <w:tcW w:type="dxa" w:w="3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Labels</w:t>
            </w:r>
          </w:p>
        </w:tc>
        <w:tc>
          <w:tcPr>
            <w:tcW w:type="dxa" w:w="32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Self-supervised via adaptive percentile thresholds</w:t>
            </w:r>
          </w:p>
        </w:tc>
        <w:tc>
          <w:tcPr>
            <w:tcW w:type="dxa" w:w="38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No ground-truth impulse labels available</w:t>
            </w:r>
          </w:p>
        </w:tc>
      </w:tr>
      <w:tr>
        <w:tc>
          <w:tcPr>
            <w:tcW w:type="dxa" w:w="3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Bank formats</w:t>
            </w:r>
          </w:p>
        </w:tc>
        <w:tc>
          <w:tcPr>
            <w:tcW w:type="dxa" w:w="32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Any Indian bank CSV/TSV/XLSX</w:t>
            </w:r>
          </w:p>
        </w:tc>
        <w:tc>
          <w:tcPr>
            <w:tcW w:type="dxa" w:w="38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Dynamic column detection handles all major formats</w:t>
            </w:r>
          </w:p>
        </w:tc>
      </w:tr>
    </w:tbl>
    <w:p>
      <w:pPr>
        <w:spacing w:before="160" w:after="160"/>
      </w:pPr>
      <w:r>
        <w:t xml:space="preserve"/>
      </w:r>
    </w:p>
    <w:p>
      <w:pPr>
        <w:pStyle w:val="Heading1"/>
        <w:pBdr>
          <w:bottom w:val="single" w:color="E05C1A" w:sz="4"/>
        </w:pBdr>
        <w:shd w:fill="1B3A6B" w:val="clear"/>
        <w:spacing w:before="240" w:after="120"/>
        <w:ind w:left="120" w:right="120"/>
      </w:pPr>
      <w:r>
        <w:rPr>
          <w:b/>
          <w:bCs/>
          <w:color w:val="FFFFFF"/>
          <w:sz w:val="26"/>
          <w:szCs w:val="26"/>
        </w:rPr>
        <w:t xml:space="preserve">2.  Data Assumptions &amp; Dataset Description</w:t>
      </w:r>
    </w:p>
    <w:p>
      <w:pPr>
        <w:spacing w:before="60" w:after="60"/>
      </w:pPr>
      <w:r>
        <w:t xml:space="preserve"/>
      </w:r>
    </w:p>
    <w:p>
      <w:pPr>
        <w:pStyle w:val="Heading2"/>
        <w:pBdr>
          <w:bottom w:val="single" w:color="1A7F8E" w:sz="2" w:space="2"/>
        </w:pBdr>
        <w:spacing w:before="200" w:after="80"/>
      </w:pPr>
      <w:r>
        <w:rPr>
          <w:b/>
          <w:bCs/>
          <w:color w:val="1B3A6B"/>
          <w:sz w:val="22"/>
          <w:szCs w:val="22"/>
        </w:rPr>
        <w:t xml:space="preserve">2.1  Input Format</w:t>
      </w:r>
    </w:p>
    <w:p>
      <w:pPr>
        <w:spacing w:before="40" w:after="40"/>
        <w:jc w:val="both"/>
      </w:pPr>
      <w:r>
        <w:rPr>
          <w:color w:val="1A1A2E"/>
          <w:sz w:val="19"/>
          <w:szCs w:val="19"/>
        </w:rPr>
        <w:t xml:space="preserve">The analyser accepts bank statement exports in CSV, TSV, TXT, or XLSX format. Rather than expecting fixed column names, a semantic mapping engine matches raw column headers from any bank to nine canonical roles using regex patterns.</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2580"/>
      </w:tblGrid>
      <w:tr>
        <w:trPr>
          <w:tblHeader/>
        </w:trPr>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Canonical Role</w:t>
            </w:r>
          </w:p>
        </w:tc>
        <w:tc>
          <w:tcPr>
            <w:tcW w:type="dxa" w:w="5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Example Raw Column Names (various banks)</w:t>
            </w:r>
          </w:p>
        </w:tc>
        <w:tc>
          <w:tcPr>
            <w:tcW w:type="dxa" w:w="25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Required?</w:t>
            </w:r>
          </w:p>
        </w:tc>
      </w:tr>
      <w:tr>
        <w:tc>
          <w:tcPr>
            <w:tcW w:type="dxa" w:w="2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date</w:t>
            </w:r>
          </w:p>
        </w:tc>
        <w:tc>
          <w:tcPr>
            <w:tcW w:type="dxa" w:w="55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Date, Transaction Date, Txn Date, Trans Dt</w:t>
            </w:r>
          </w:p>
        </w:tc>
        <w:tc>
          <w:tcPr>
            <w:tcW w:type="dxa" w:w="25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Yes</w:t>
            </w:r>
          </w:p>
        </w:tc>
      </w:tr>
      <w:tr>
        <w:tc>
          <w:tcPr>
            <w:tcW w:type="dxa" w:w="2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narration</w:t>
            </w:r>
          </w:p>
        </w:tc>
        <w:tc>
          <w:tcPr>
            <w:tcW w:type="dxa" w:w="55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Narration, Description, Particulars, Remarks</w:t>
            </w:r>
          </w:p>
        </w:tc>
        <w:tc>
          <w:tcPr>
            <w:tcW w:type="dxa" w:w="25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Yes (soft)</w:t>
            </w:r>
          </w:p>
        </w:tc>
      </w:tr>
      <w:tr>
        <w:tc>
          <w:tcPr>
            <w:tcW w:type="dxa" w:w="2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withdrawal</w:t>
            </w:r>
          </w:p>
        </w:tc>
        <w:tc>
          <w:tcPr>
            <w:tcW w:type="dxa" w:w="55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Withdrawal Amt., Debit, Debit Amt., Dr Amount</w:t>
            </w:r>
          </w:p>
        </w:tc>
        <w:tc>
          <w:tcPr>
            <w:tcW w:type="dxa" w:w="25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One of the three</w:t>
            </w:r>
          </w:p>
        </w:tc>
      </w:tr>
      <w:tr>
        <w:tc>
          <w:tcPr>
            <w:tcW w:type="dxa" w:w="2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deposit</w:t>
            </w:r>
          </w:p>
        </w:tc>
        <w:tc>
          <w:tcPr>
            <w:tcW w:type="dxa" w:w="55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Deposit Amt., Credit, Credit Amt., Cr Amount</w:t>
            </w:r>
          </w:p>
        </w:tc>
        <w:tc>
          <w:tcPr>
            <w:tcW w:type="dxa" w:w="25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amount formats</w:t>
            </w:r>
          </w:p>
        </w:tc>
      </w:tr>
      <w:tr>
        <w:tc>
          <w:tcPr>
            <w:tcW w:type="dxa" w:w="2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balance</w:t>
            </w:r>
          </w:p>
        </w:tc>
        <w:tc>
          <w:tcPr>
            <w:tcW w:type="dxa" w:w="55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Closing Balance, Balance, Running Balance, Bal.</w:t>
            </w:r>
          </w:p>
        </w:tc>
        <w:tc>
          <w:tcPr>
            <w:tcW w:type="dxa" w:w="25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Recommended</w:t>
            </w:r>
          </w:p>
        </w:tc>
      </w:tr>
      <w:tr>
        <w:tc>
          <w:tcPr>
            <w:tcW w:type="dxa" w:w="2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amount</w:t>
            </w:r>
          </w:p>
        </w:tc>
        <w:tc>
          <w:tcPr>
            <w:tcW w:type="dxa" w:w="55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Amount, Transaction Amount, Txn Amount</w:t>
            </w:r>
          </w:p>
        </w:tc>
        <w:tc>
          <w:tcPr>
            <w:tcW w:type="dxa" w:w="25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Alt to debit+credit</w:t>
            </w:r>
          </w:p>
        </w:tc>
      </w:tr>
      <w:tr>
        <w:tc>
          <w:tcPr>
            <w:tcW w:type="dxa" w:w="20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dr_cr_flag</w:t>
            </w:r>
          </w:p>
        </w:tc>
        <w:tc>
          <w:tcPr>
            <w:tcW w:type="dxa" w:w="55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Dr/Cr, Type, Transaction Type, Debit Credit</w:t>
            </w:r>
          </w:p>
        </w:tc>
        <w:tc>
          <w:tcPr>
            <w:tcW w:type="dxa" w:w="25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With single amount col</w:t>
            </w:r>
          </w:p>
        </w:tc>
      </w:tr>
    </w:tbl>
    <w:p>
      <w:pPr>
        <w:spacing w:before="80" w:after="80"/>
      </w:pPr>
      <w:r>
        <w:t xml:space="preserve"/>
      </w:r>
    </w:p>
    <w:p>
      <w:pPr>
        <w:spacing w:before="40" w:after="40"/>
        <w:jc w:val="both"/>
      </w:pPr>
      <w:r>
        <w:rPr>
          <w:color w:val="1A1A2E"/>
          <w:sz w:val="19"/>
          <w:szCs w:val="19"/>
        </w:rPr>
        <w:t xml:space="preserve">Three amount column formats are automatically resolved:</w:t>
      </w:r>
    </w:p>
    <w:p>
      <w:pPr>
        <w:pStyle w:val="ListParagraph"/>
        <w:numPr>
          <w:ilvl w:val="0"/>
          <w:numId w:val="2"/>
        </w:numPr>
        <w:spacing w:before="30" w:after="30"/>
      </w:pPr>
      <w:r>
        <w:rPr>
          <w:color w:val="1A1A2E"/>
          <w:sz w:val="19"/>
          <w:szCs w:val="19"/>
        </w:rPr>
        <w:t xml:space="preserve">Dual-column (IndusInd, HDFC, ICICI, SBI): separate Withdrawal + Deposit columns.</w:t>
      </w:r>
    </w:p>
    <w:p>
      <w:pPr>
        <w:pStyle w:val="ListParagraph"/>
        <w:numPr>
          <w:ilvl w:val="0"/>
          <w:numId w:val="2"/>
        </w:numPr>
        <w:spacing w:before="30" w:after="30"/>
      </w:pPr>
      <w:r>
        <w:rPr>
          <w:color w:val="1A1A2E"/>
          <w:sz w:val="19"/>
          <w:szCs w:val="19"/>
        </w:rPr>
        <w:t xml:space="preserve">Single Amount + DR/CR Flag (Axis, Kotak): one amount column with a direction indicator.</w:t>
      </w:r>
    </w:p>
    <w:p>
      <w:pPr>
        <w:pStyle w:val="ListParagraph"/>
        <w:numPr>
          <w:ilvl w:val="0"/>
          <w:numId w:val="2"/>
        </w:numPr>
        <w:spacing w:before="30" w:after="30"/>
      </w:pPr>
      <w:r>
        <w:rPr>
          <w:color w:val="1A1A2E"/>
          <w:sz w:val="19"/>
          <w:szCs w:val="19"/>
        </w:rPr>
        <w:t xml:space="preserve">Signed Amount (some exports): negative values treated as debits; if all positive, direction is inferred from balance movement.</w:t>
      </w:r>
    </w:p>
    <w:p>
      <w:pPr>
        <w:spacing w:before="60" w:after="60"/>
      </w:pPr>
      <w:r>
        <w:t xml:space="preserve"/>
      </w:r>
    </w:p>
    <w:p>
      <w:pPr>
        <w:pStyle w:val="Heading2"/>
        <w:pBdr>
          <w:bottom w:val="single" w:color="1A7F8E" w:sz="2" w:space="2"/>
        </w:pBdr>
        <w:spacing w:before="200" w:after="80"/>
      </w:pPr>
      <w:r>
        <w:rPr>
          <w:b/>
          <w:bCs/>
          <w:color w:val="1B3A6B"/>
          <w:sz w:val="22"/>
          <w:szCs w:val="22"/>
        </w:rPr>
        <w:t xml:space="preserve">2.2  Key Assumptions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7F8E" w:sz="4"/>
              <w:left w:val="thick" w:color="1A7F8E" w:sz="10"/>
              <w:bottom w:val="single" w:color="1A7F8E" w:sz="1"/>
              <w:right w:val="single" w:color="1A7F8E" w:sz="1"/>
            </w:tcBorders>
            <w:shd w:fill="D4F0F4" w:val="clear"/>
            <w:tcMar>
              <w:top w:type="dxa" w:w="100"/>
              <w:left w:type="dxa" w:w="180"/>
              <w:bottom w:type="dxa" w:w="100"/>
              <w:right w:type="dxa" w:w="120"/>
            </w:tcMar>
          </w:tcPr>
          <w:p>
            <w:pPr>
              <w:spacing w:after="40"/>
            </w:pPr>
            <w:r>
              <w:rPr>
                <w:b/>
                <w:bCs/>
                <w:color w:val="1A7F8E"/>
                <w:sz w:val="19"/>
                <w:szCs w:val="19"/>
              </w:rPr>
              <w:t xml:space="preserve">Personalisation Assumption</w:t>
            </w:r>
          </w:p>
          <w:p>
            <w:pPr>
              <w:jc w:val="both"/>
            </w:pPr>
            <w:r>
              <w:rPr>
                <w:color w:val="1A1A2E"/>
                <w:sz w:val="18"/>
                <w:szCs w:val="18"/>
              </w:rPr>
              <w:t xml:space="preserve">Because data belongs to a single user, all statistical comparisons are made against that user's own historical baseline — not against population averages. This makes the model inherently personalised: a user who regularly spends 80% on dining is not penalised for that pattern; they are only flagged when their dining spend deviates significantly from their own norm.</w:t>
            </w:r>
          </w:p>
        </w:tc>
      </w:tr>
    </w:tbl>
    <w:p>
      <w:pPr>
        <w:spacing w:before="80" w:after="80"/>
      </w:pPr>
      <w:r>
        <w:t xml:space="preserve"/>
      </w:r>
    </w:p>
    <w:p>
      <w:pPr>
        <w:pStyle w:val="ListParagraph"/>
        <w:numPr>
          <w:ilvl w:val="0"/>
          <w:numId w:val="2"/>
        </w:numPr>
        <w:spacing w:before="30" w:after="30"/>
      </w:pPr>
      <w:r>
        <w:rPr>
          <w:color w:val="1A1A2E"/>
          <w:sz w:val="19"/>
          <w:szCs w:val="19"/>
        </w:rPr>
        <w:t xml:space="preserve">A minimum of 6 months of transaction history is recommended for meaningful ML modelling; 12–24 months is ideal.</w:t>
      </w:r>
    </w:p>
    <w:p>
      <w:pPr>
        <w:pStyle w:val="ListParagraph"/>
        <w:numPr>
          <w:ilvl w:val="0"/>
          <w:numId w:val="2"/>
        </w:numPr>
        <w:spacing w:before="30" w:after="30"/>
      </w:pPr>
      <w:r>
        <w:rPr>
          <w:color w:val="1A1A2E"/>
          <w:sz w:val="19"/>
          <w:szCs w:val="19"/>
        </w:rPr>
        <w:t xml:space="preserve">Deposits in salary months are used as the income denominator for the spend-to-income ratio. Months with no credit are treated with a near-zero income denominator.</w:t>
      </w:r>
    </w:p>
    <w:p>
      <w:pPr>
        <w:pStyle w:val="ListParagraph"/>
        <w:numPr>
          <w:ilvl w:val="0"/>
          <w:numId w:val="2"/>
        </w:numPr>
        <w:spacing w:before="30" w:after="30"/>
      </w:pPr>
      <w:r>
        <w:rPr>
          <w:color w:val="1A1A2E"/>
          <w:sz w:val="19"/>
          <w:szCs w:val="19"/>
        </w:rPr>
        <w:t xml:space="preserve">The masked separator row (***) inserted by Indian bank exports is automatically stripped.</w:t>
      </w:r>
    </w:p>
    <w:p>
      <w:pPr>
        <w:pStyle w:val="ListParagraph"/>
        <w:numPr>
          <w:ilvl w:val="0"/>
          <w:numId w:val="2"/>
        </w:numPr>
        <w:spacing w:before="30" w:after="30"/>
      </w:pPr>
      <w:r>
        <w:rPr>
          <w:color w:val="1A1A2E"/>
          <w:sz w:val="19"/>
          <w:szCs w:val="19"/>
        </w:rPr>
        <w:t xml:space="preserve">Transactions with unparseable dates are dropped and reported in the schema warnings.</w:t>
      </w:r>
    </w:p>
    <w:p>
      <w:pPr>
        <w:spacing w:before="160" w:after="160"/>
      </w:pPr>
      <w:r>
        <w:t xml:space="preserve"/>
      </w:r>
    </w:p>
    <w:p>
      <w:pPr>
        <w:pStyle w:val="Heading1"/>
        <w:pBdr>
          <w:bottom w:val="single" w:color="E05C1A" w:sz="4"/>
        </w:pBdr>
        <w:shd w:fill="1B3A6B" w:val="clear"/>
        <w:spacing w:before="240" w:after="120"/>
        <w:ind w:left="120" w:right="120"/>
      </w:pPr>
      <w:r>
        <w:rPr>
          <w:b/>
          <w:bCs/>
          <w:color w:val="FFFFFF"/>
          <w:sz w:val="26"/>
          <w:szCs w:val="26"/>
        </w:rPr>
        <w:t xml:space="preserve">3.  Feature Engineering Logic</w:t>
      </w:r>
    </w:p>
    <w:p>
      <w:pPr>
        <w:spacing w:before="60" w:after="60"/>
      </w:pPr>
      <w:r>
        <w:t xml:space="preserve"/>
      </w:r>
    </w:p>
    <w:p>
      <w:pPr>
        <w:spacing w:before="40" w:after="40"/>
        <w:jc w:val="both"/>
      </w:pPr>
      <w:r>
        <w:rPr>
          <w:color w:val="1A1A2E"/>
          <w:sz w:val="19"/>
          <w:szCs w:val="19"/>
        </w:rPr>
        <w:t xml:space="preserve">The raw transaction stream is aggregated into monthly snapshots. Each month becomes one observation in the feature matrix. Ten behavioural features are computed:</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rPr>
          <w:tblHeader/>
        </w:trPr>
        <w:tc>
          <w:tcPr>
            <w:tcW w:type="dxa" w:w="2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Feature</w:t>
            </w:r>
          </w:p>
        </w:tc>
        <w:tc>
          <w:tcPr>
            <w:tcW w:type="dxa" w:w="3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Formula / Definition</w:t>
            </w:r>
          </w:p>
        </w:tc>
        <w:tc>
          <w:tcPr>
            <w:tcW w:type="dxa" w:w="38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Behavioural Signal</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cv_amount</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std(withdrawals) / mean(withdrawals)</w:t>
            </w:r>
          </w:p>
        </w:tc>
        <w:tc>
          <w:tcPr>
            <w:tcW w:type="dxa" w:w="38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High variance = erratic, binge-pause spending pattern</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eom_spend_ratio</w:t>
            </w:r>
          </w:p>
        </w:tc>
        <w:tc>
          <w:tcPr>
            <w:tcW w:type="dxa" w:w="36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sum(withdrawals, days 25–31) / sum(withdrawals, days 1–24)</w:t>
            </w:r>
          </w:p>
        </w:tc>
        <w:tc>
          <w:tcPr>
            <w:tcW w:type="dxa" w:w="38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End-of-month spending surge; often driven by urgency or anxiety</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eom_txn_share</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count(transactions, days 25–31) / total transactions</w:t>
            </w:r>
          </w:p>
        </w:tc>
        <w:tc>
          <w:tcPr>
            <w:tcW w:type="dxa" w:w="38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Frequency of late-month transactions, not just value</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imp_cat_share</w:t>
            </w:r>
          </w:p>
        </w:tc>
        <w:tc>
          <w:tcPr>
            <w:tcW w:type="dxa" w:w="36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count(impulsive-category txns) / total transactions</w:t>
            </w:r>
          </w:p>
        </w:tc>
        <w:tc>
          <w:tcPr>
            <w:tcW w:type="dxa" w:w="38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How often impulse categories are transacted</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imp_cat_spend_share</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sum(impulsive-category spend) / total spend</w:t>
            </w:r>
          </w:p>
        </w:tc>
        <w:tc>
          <w:tcPr>
            <w:tcW w:type="dxa" w:w="38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Weight of impulsive spending by value</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large_txn_share</w:t>
            </w:r>
          </w:p>
        </w:tc>
        <w:tc>
          <w:tcPr>
            <w:tcW w:type="dxa" w:w="36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count(amount &gt; 2× median) / total transactions</w:t>
            </w:r>
          </w:p>
        </w:tc>
        <w:tc>
          <w:tcPr>
            <w:tcW w:type="dxa" w:w="38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Proportion of unusually large individual transactions</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spike_ratio</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max(withdrawal) / mean(withdrawal)</w:t>
            </w:r>
          </w:p>
        </w:tc>
        <w:tc>
          <w:tcPr>
            <w:tcW w:type="dxa" w:w="38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Single-transaction outlier magnitude</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weekend_spend_share</w:t>
            </w:r>
          </w:p>
        </w:tc>
        <w:tc>
          <w:tcPr>
            <w:tcW w:type="dxa" w:w="36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sum(Sat+Sun withdrawals) / total spend</w:t>
            </w:r>
          </w:p>
        </w:tc>
        <w:tc>
          <w:tcPr>
            <w:tcW w:type="dxa" w:w="38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Leisure-driven, unplanned weekend spending</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spend_to_income_ratio</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total_spend / total_deposits</w:t>
            </w:r>
          </w:p>
        </w:tc>
        <w:tc>
          <w:tcPr>
            <w:tcW w:type="dxa" w:w="38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Overspending signal; values &gt; 1 indicate spending beyond income</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atm_cash_share</w:t>
            </w:r>
          </w:p>
        </w:tc>
        <w:tc>
          <w:tcPr>
            <w:tcW w:type="dxa" w:w="36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count(ATM transactions) / total transactions</w:t>
            </w:r>
          </w:p>
        </w:tc>
        <w:tc>
          <w:tcPr>
            <w:tcW w:type="dxa" w:w="38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Cash withdrawals reduce traceability and impulse friction</w:t>
            </w:r>
          </w:p>
        </w:tc>
      </w:tr>
    </w:tbl>
    <w:p>
      <w:pPr>
        <w:spacing w:before="80" w:after="80"/>
      </w:pPr>
      <w:r>
        <w:t xml:space="preserve"/>
      </w:r>
    </w:p>
    <w:p>
      <w:pPr>
        <w:pStyle w:val="Heading2"/>
        <w:pBdr>
          <w:bottom w:val="single" w:color="1A7F8E" w:sz="2" w:space="2"/>
        </w:pBdr>
        <w:spacing w:before="200" w:after="80"/>
      </w:pPr>
      <w:r>
        <w:rPr>
          <w:b/>
          <w:bCs/>
          <w:color w:val="1B3A6B"/>
          <w:sz w:val="22"/>
          <w:szCs w:val="22"/>
        </w:rPr>
        <w:t xml:space="preserve">3.1  Impulsive Categories</w:t>
      </w:r>
    </w:p>
    <w:p>
      <w:pPr>
        <w:spacing w:before="40" w:after="40"/>
        <w:jc w:val="both"/>
      </w:pPr>
      <w:r>
        <w:rPr>
          <w:color w:val="1A1A2E"/>
          <w:sz w:val="19"/>
          <w:szCs w:val="19"/>
        </w:rPr>
        <w:t xml:space="preserve">Transactions are categorised by parsing the narration field against 13 regex rule sets. Five categories are classified as impulsive:</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D0D5DC" w:sz="1"/>
              <w:left w:val="single" w:color="D0D5DC" w:sz="1"/>
              <w:bottom w:val="single" w:color="D0D5DC" w:sz="1"/>
              <w:right w:val="single" w:color="D0D5DC" w:sz="1"/>
            </w:tcBorders>
            <w:shd w:fill="FFE5DC" w:val="clear"/>
            <w:tcMar>
              <w:top w:type="dxa" w:w="70"/>
              <w:left w:type="dxa" w:w="110"/>
              <w:bottom w:type="dxa" w:w="70"/>
              <w:right w:type="dxa" w:w="110"/>
            </w:tcMar>
          </w:tcPr>
          <w:p>
            <w:r>
              <w:rPr>
                <w:b/>
                <w:bCs/>
                <w:color w:val="E05C1A"/>
                <w:sz w:val="18"/>
                <w:szCs w:val="18"/>
              </w:rPr>
              <w:t xml:space="preserve">Food &amp; Dining</w:t>
            </w:r>
          </w:p>
        </w:tc>
        <w:tc>
          <w:tcPr>
            <w:tcW w:type="dxa" w:w="80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r>
              <w:rPr>
                <w:b w:val="false"/>
                <w:bCs w:val="false"/>
                <w:color w:val="1A1A2E"/>
                <w:sz w:val="18"/>
                <w:szCs w:val="18"/>
              </w:rPr>
              <w:t xml:space="preserve">Zomato, Swiggy, restaurants, cafes, fast food chains</w:t>
            </w:r>
          </w:p>
        </w:tc>
      </w:tr>
      <w:tr>
        <w:tc>
          <w:tcPr>
            <w:tcW w:type="dxa" w:w="2000"/>
            <w:tcBorders>
              <w:top w:val="single" w:color="D0D5DC" w:sz="1"/>
              <w:left w:val="single" w:color="D0D5DC" w:sz="1"/>
              <w:bottom w:val="single" w:color="D0D5DC" w:sz="1"/>
              <w:right w:val="single" w:color="D0D5DC" w:sz="1"/>
            </w:tcBorders>
            <w:shd w:fill="FFE5DC" w:val="clear"/>
            <w:tcMar>
              <w:top w:type="dxa" w:w="70"/>
              <w:left w:type="dxa" w:w="110"/>
              <w:bottom w:type="dxa" w:w="70"/>
              <w:right w:type="dxa" w:w="110"/>
            </w:tcMar>
          </w:tcPr>
          <w:p>
            <w:r>
              <w:rPr>
                <w:b/>
                <w:bCs/>
                <w:color w:val="E05C1A"/>
                <w:sz w:val="18"/>
                <w:szCs w:val="18"/>
              </w:rPr>
              <w:t xml:space="preserve">Entertainment</w:t>
            </w:r>
          </w:p>
        </w:tc>
        <w:tc>
          <w:tcPr>
            <w:tcW w:type="dxa" w:w="80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r>
              <w:rPr>
                <w:b w:val="false"/>
                <w:bCs w:val="false"/>
                <w:color w:val="1A1A2E"/>
                <w:sz w:val="18"/>
                <w:szCs w:val="18"/>
              </w:rPr>
              <w:t xml:space="preserve">Netflix, Hotstar, Spotify, gaming, BookMyShow</w:t>
            </w:r>
          </w:p>
        </w:tc>
      </w:tr>
      <w:tr>
        <w:tc>
          <w:tcPr>
            <w:tcW w:type="dxa" w:w="2000"/>
            <w:tcBorders>
              <w:top w:val="single" w:color="D0D5DC" w:sz="1"/>
              <w:left w:val="single" w:color="D0D5DC" w:sz="1"/>
              <w:bottom w:val="single" w:color="D0D5DC" w:sz="1"/>
              <w:right w:val="single" w:color="D0D5DC" w:sz="1"/>
            </w:tcBorders>
            <w:shd w:fill="FFE5DC" w:val="clear"/>
            <w:tcMar>
              <w:top w:type="dxa" w:w="70"/>
              <w:left w:type="dxa" w:w="110"/>
              <w:bottom w:type="dxa" w:w="70"/>
              <w:right w:type="dxa" w:w="110"/>
            </w:tcMar>
          </w:tcPr>
          <w:p>
            <w:r>
              <w:rPr>
                <w:b/>
                <w:bCs/>
                <w:color w:val="E05C1A"/>
                <w:sz w:val="18"/>
                <w:szCs w:val="18"/>
              </w:rPr>
              <w:t xml:space="preserve">Shopping / Fashion</w:t>
            </w:r>
          </w:p>
        </w:tc>
        <w:tc>
          <w:tcPr>
            <w:tcW w:type="dxa" w:w="80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r>
              <w:rPr>
                <w:b w:val="false"/>
                <w:bCs w:val="false"/>
                <w:color w:val="1A1A2E"/>
                <w:sz w:val="18"/>
                <w:szCs w:val="18"/>
              </w:rPr>
              <w:t xml:space="preserve">Amazon, Flipkart, Myntra, Ajio, fashion brands</w:t>
            </w:r>
          </w:p>
        </w:tc>
      </w:tr>
      <w:tr>
        <w:tc>
          <w:tcPr>
            <w:tcW w:type="dxa" w:w="2000"/>
            <w:tcBorders>
              <w:top w:val="single" w:color="D0D5DC" w:sz="1"/>
              <w:left w:val="single" w:color="D0D5DC" w:sz="1"/>
              <w:bottom w:val="single" w:color="D0D5DC" w:sz="1"/>
              <w:right w:val="single" w:color="D0D5DC" w:sz="1"/>
            </w:tcBorders>
            <w:shd w:fill="FFE5DC" w:val="clear"/>
            <w:tcMar>
              <w:top w:type="dxa" w:w="70"/>
              <w:left w:type="dxa" w:w="110"/>
              <w:bottom w:type="dxa" w:w="70"/>
              <w:right w:type="dxa" w:w="110"/>
            </w:tcMar>
          </w:tcPr>
          <w:p>
            <w:r>
              <w:rPr>
                <w:b/>
                <w:bCs/>
                <w:color w:val="E05C1A"/>
                <w:sz w:val="18"/>
                <w:szCs w:val="18"/>
              </w:rPr>
              <w:t xml:space="preserve">Alcohol / Bars</w:t>
            </w:r>
          </w:p>
        </w:tc>
        <w:tc>
          <w:tcPr>
            <w:tcW w:type="dxa" w:w="80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r>
              <w:rPr>
                <w:b w:val="false"/>
                <w:bCs w:val="false"/>
                <w:color w:val="1A1A2E"/>
                <w:sz w:val="18"/>
                <w:szCs w:val="18"/>
              </w:rPr>
              <w:t xml:space="preserve">Liquor stores, bars, pubs, TASMAC</w:t>
            </w:r>
          </w:p>
        </w:tc>
      </w:tr>
      <w:tr>
        <w:tc>
          <w:tcPr>
            <w:tcW w:type="dxa" w:w="2000"/>
            <w:tcBorders>
              <w:top w:val="single" w:color="D0D5DC" w:sz="1"/>
              <w:left w:val="single" w:color="D0D5DC" w:sz="1"/>
              <w:bottom w:val="single" w:color="D0D5DC" w:sz="1"/>
              <w:right w:val="single" w:color="D0D5DC" w:sz="1"/>
            </w:tcBorders>
            <w:shd w:fill="FFE5DC" w:val="clear"/>
            <w:tcMar>
              <w:top w:type="dxa" w:w="70"/>
              <w:left w:type="dxa" w:w="110"/>
              <w:bottom w:type="dxa" w:w="70"/>
              <w:right w:type="dxa" w:w="110"/>
            </w:tcMar>
          </w:tcPr>
          <w:p>
            <w:r>
              <w:rPr>
                <w:b/>
                <w:bCs/>
                <w:color w:val="E05C1A"/>
                <w:sz w:val="18"/>
                <w:szCs w:val="18"/>
              </w:rPr>
              <w:t xml:space="preserve">ATM / Cash</w:t>
            </w:r>
          </w:p>
        </w:tc>
        <w:tc>
          <w:tcPr>
            <w:tcW w:type="dxa" w:w="80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r>
              <w:rPr>
                <w:b w:val="false"/>
                <w:bCs w:val="false"/>
                <w:color w:val="1A1A2E"/>
                <w:sz w:val="18"/>
                <w:szCs w:val="18"/>
              </w:rPr>
              <w:t xml:space="preserve">ATM withdrawals, cash transactions</w:t>
            </w:r>
          </w:p>
        </w:tc>
      </w:tr>
    </w:tbl>
    <w:p>
      <w:pPr>
        <w:spacing w:before="160" w:after="160"/>
      </w:pPr>
      <w:r>
        <w:t xml:space="preserve"/>
      </w:r>
    </w:p>
    <w:p>
      <w:pPr>
        <w:pStyle w:val="Heading1"/>
        <w:pBdr>
          <w:bottom w:val="single" w:color="E05C1A" w:sz="4"/>
        </w:pBdr>
        <w:shd w:fill="1B3A6B" w:val="clear"/>
        <w:spacing w:before="240" w:after="120"/>
        <w:ind w:left="120" w:right="120"/>
      </w:pPr>
      <w:r>
        <w:rPr>
          <w:b/>
          <w:bCs/>
          <w:color w:val="FFFFFF"/>
          <w:sz w:val="26"/>
          <w:szCs w:val="26"/>
        </w:rPr>
        <w:t xml:space="preserve">4.  Model Selection and Reasoning</w:t>
      </w:r>
    </w:p>
    <w:p>
      <w:pPr>
        <w:spacing w:before="60" w:after="60"/>
      </w:pPr>
      <w:r>
        <w:t xml:space="preserve"/>
      </w:r>
    </w:p>
    <w:p>
      <w:pPr>
        <w:spacing w:before="40" w:after="40"/>
        <w:jc w:val="both"/>
      </w:pPr>
      <w:r>
        <w:rPr>
          <w:color w:val="1A1A2E"/>
          <w:sz w:val="19"/>
          <w:szCs w:val="19"/>
        </w:rPr>
        <w:t xml:space="preserve">The core challenge is that no ground-truth labels exist for 'impulsive months'. The system must be self-supervised, learning each user's normal behaviour and identifying deviations. Three complementary unsupervised methods are combined into an ensemble, each capturing a different dimension of anomaly:</w:t>
      </w:r>
    </w:p>
    <w:p>
      <w:pPr>
        <w:spacing w:before="80" w:after="80"/>
      </w:pPr>
      <w:r>
        <w:t xml:space="preserve"/>
      </w:r>
    </w:p>
    <w:p>
      <w:pPr>
        <w:pStyle w:val="Heading2"/>
        <w:pBdr>
          <w:bottom w:val="single" w:color="1A7F8E" w:sz="2" w:space="2"/>
        </w:pBdr>
        <w:spacing w:before="200" w:after="80"/>
      </w:pPr>
      <w:r>
        <w:rPr>
          <w:b/>
          <w:bCs/>
          <w:color w:val="1B3A6B"/>
          <w:sz w:val="22"/>
          <w:szCs w:val="22"/>
        </w:rPr>
        <w:t xml:space="preserve">4.1  Method 1 — Personalised Z-Score Anomaly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FA3" w:sz="4"/>
              <w:left w:val="thick" w:color="2E5FA3" w:sz="10"/>
              <w:bottom w:val="single" w:color="2E5FA3" w:sz="1"/>
              <w:right w:val="single" w:color="2E5FA3" w:sz="1"/>
            </w:tcBorders>
            <w:shd w:fill="D6E4F7" w:val="clear"/>
            <w:tcMar>
              <w:top w:type="dxa" w:w="100"/>
              <w:left w:type="dxa" w:w="180"/>
              <w:bottom w:type="dxa" w:w="100"/>
              <w:right w:type="dxa" w:w="120"/>
            </w:tcMar>
          </w:tcPr>
          <w:p>
            <w:pPr>
              <w:spacing w:after="40"/>
            </w:pPr>
            <w:r>
              <w:rPr>
                <w:b/>
                <w:bCs/>
                <w:color w:val="2E5FA3"/>
                <w:sz w:val="19"/>
                <w:szCs w:val="19"/>
              </w:rPr>
              <w:t xml:space="preserve">Why chosen</w:t>
            </w:r>
          </w:p>
          <w:p>
            <w:pPr>
              <w:jc w:val="both"/>
            </w:pPr>
            <w:r>
              <w:rPr>
                <w:color w:val="1A1A2E"/>
                <w:sz w:val="18"/>
                <w:szCs w:val="18"/>
              </w:rPr>
              <w:t xml:space="preserve">Directly measures how far a month deviates from the user's own historical mean in standard deviation units. Crucially, only positive deviations (spending more than usual) are penalised — the score captures upward outliers only. The Root Mean Square across all features aggregates a single anomaly magnitude per month.</w:t>
            </w:r>
          </w:p>
        </w:tc>
      </w:tr>
    </w:tbl>
    <w:p>
      <w:pPr>
        <w:spacing w:before="60" w:after="60"/>
      </w:pPr>
      <w:r>
        <w:t xml:space="preserve"/>
      </w:r>
    </w:p>
    <w:p>
      <w:pPr>
        <w:pStyle w:val="Heading2"/>
        <w:pBdr>
          <w:bottom w:val="single" w:color="1A7F8E" w:sz="2" w:space="2"/>
        </w:pBdr>
        <w:spacing w:before="200" w:after="80"/>
      </w:pPr>
      <w:r>
        <w:rPr>
          <w:b/>
          <w:bCs/>
          <w:color w:val="1B3A6B"/>
          <w:sz w:val="22"/>
          <w:szCs w:val="22"/>
        </w:rPr>
        <w:t xml:space="preserve">4.2  Method 2 — Isolation Forest (Unsupervised 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FA3" w:sz="4"/>
              <w:left w:val="thick" w:color="2E5FA3" w:sz="10"/>
              <w:bottom w:val="single" w:color="2E5FA3" w:sz="1"/>
              <w:right w:val="single" w:color="2E5FA3" w:sz="1"/>
            </w:tcBorders>
            <w:shd w:fill="D6E4F7" w:val="clear"/>
            <w:tcMar>
              <w:top w:type="dxa" w:w="100"/>
              <w:left w:type="dxa" w:w="180"/>
              <w:bottom w:type="dxa" w:w="100"/>
              <w:right w:type="dxa" w:w="120"/>
            </w:tcMar>
          </w:tcPr>
          <w:p>
            <w:pPr>
              <w:spacing w:after="40"/>
            </w:pPr>
            <w:r>
              <w:rPr>
                <w:b/>
                <w:bCs/>
                <w:color w:val="2E5FA3"/>
                <w:sz w:val="19"/>
                <w:szCs w:val="19"/>
              </w:rPr>
              <w:t xml:space="preserve">Why chosen</w:t>
            </w:r>
          </w:p>
          <w:p>
            <w:pPr>
              <w:jc w:val="both"/>
            </w:pPr>
            <w:r>
              <w:rPr>
                <w:color w:val="1A1A2E"/>
                <w:sz w:val="18"/>
                <w:szCs w:val="18"/>
              </w:rPr>
              <w:t xml:space="preserve">Isolation Forest builds an ensemble of random trees that isolate observations. Anomalous months require fewer splits to isolate, resulting in shorter path lengths. Unlike Z-Score, it detects multi-feature outliers that no single feature captures independently — for instance, a month with moderately elevated values across five features simultaneously. Contamination is set at 1/3, reflecting an expectation that roughly one-third of months show elevated impulsive patterns.</w:t>
            </w:r>
          </w:p>
        </w:tc>
      </w:tr>
    </w:tbl>
    <w:p>
      <w:pPr>
        <w:spacing w:before="60" w:after="60"/>
      </w:pPr>
      <w:r>
        <w:t xml:space="preserve"/>
      </w:r>
    </w:p>
    <w:p>
      <w:pPr>
        <w:pStyle w:val="Heading2"/>
        <w:pBdr>
          <w:bottom w:val="single" w:color="1A7F8E" w:sz="2" w:space="2"/>
        </w:pBdr>
        <w:spacing w:before="200" w:after="80"/>
      </w:pPr>
      <w:r>
        <w:rPr>
          <w:b/>
          <w:bCs/>
          <w:color w:val="1B3A6B"/>
          <w:sz w:val="22"/>
          <w:szCs w:val="22"/>
        </w:rPr>
        <w:t xml:space="preserve">4.3  Method 3 — PCA Reconstruction Error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FA3" w:sz="4"/>
              <w:left w:val="thick" w:color="2E5FA3" w:sz="10"/>
              <w:bottom w:val="single" w:color="2E5FA3" w:sz="1"/>
              <w:right w:val="single" w:color="2E5FA3" w:sz="1"/>
            </w:tcBorders>
            <w:shd w:fill="D6E4F7" w:val="clear"/>
            <w:tcMar>
              <w:top w:type="dxa" w:w="100"/>
              <w:left w:type="dxa" w:w="180"/>
              <w:bottom w:type="dxa" w:w="100"/>
              <w:right w:type="dxa" w:w="120"/>
            </w:tcMar>
          </w:tcPr>
          <w:p>
            <w:pPr>
              <w:spacing w:after="40"/>
            </w:pPr>
            <w:r>
              <w:rPr>
                <w:b/>
                <w:bCs/>
                <w:color w:val="2E5FA3"/>
                <w:sz w:val="19"/>
                <w:szCs w:val="19"/>
              </w:rPr>
              <w:t xml:space="preserve">Why chosen</w:t>
            </w:r>
          </w:p>
          <w:p>
            <w:pPr>
              <w:jc w:val="both"/>
            </w:pPr>
            <w:r>
              <w:rPr>
                <w:color w:val="1A1A2E"/>
                <w:sz w:val="18"/>
                <w:szCs w:val="18"/>
              </w:rPr>
              <w:t xml:space="preserve">PCA learns the principal axes of the user's typical spending variance. A month that cannot be reconstructed well from these axes is structurally unusual — it falls outside the learnt pattern space. The number of PCA components is chosen to explain 80% of variance, preserving the signal while compressing noise. This method captures correlated feature shifts that Z-Score misses when individual features are only mildly elevated.</w:t>
            </w:r>
          </w:p>
        </w:tc>
      </w:tr>
    </w:tbl>
    <w:p>
      <w:pPr>
        <w:spacing w:before="80" w:after="80"/>
      </w:pPr>
      <w:r>
        <w:t xml:space="preserve"/>
      </w:r>
    </w:p>
    <w:p>
      <w:pPr>
        <w:pStyle w:val="Heading2"/>
        <w:pBdr>
          <w:bottom w:val="single" w:color="1A7F8E" w:sz="2" w:space="2"/>
        </w:pBdr>
        <w:spacing w:before="200" w:after="80"/>
      </w:pPr>
      <w:r>
        <w:rPr>
          <w:b/>
          <w:bCs/>
          <w:color w:val="1B3A6B"/>
          <w:sz w:val="22"/>
          <w:szCs w:val="22"/>
        </w:rPr>
        <w:t xml:space="preserve">4.4  Ensemble &amp; Adaptive Thresholds</w:t>
      </w:r>
    </w:p>
    <w:p>
      <w:pPr>
        <w:spacing w:before="40" w:after="40"/>
        <w:jc w:val="both"/>
      </w:pPr>
      <w:r>
        <w:rPr>
          <w:color w:val="1A1A2E"/>
          <w:sz w:val="19"/>
          <w:szCs w:val="19"/>
        </w:rPr>
        <w:t xml:space="preserve">All three scores are min-max normalised to [0, 1] and averaged with equal weight. The final Impulse Risk Score is scaled to [0, 100].</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200"/>
        <w:gridCol w:w="4520"/>
      </w:tblGrid>
      <w:tr>
        <w:trPr>
          <w:tblHeader/>
        </w:trPr>
        <w:tc>
          <w:tcPr>
            <w:tcW w:type="dxa" w:w="3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Component</w:t>
            </w:r>
          </w:p>
        </w:tc>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Weight</w:t>
            </w:r>
          </w:p>
        </w:tc>
        <w:tc>
          <w:tcPr>
            <w:tcW w:type="dxa" w:w="452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Normalisation</w:t>
            </w:r>
          </w:p>
        </w:tc>
      </w:tr>
      <w:tr>
        <w:tc>
          <w:tcPr>
            <w:tcW w:type="dxa" w:w="336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Z-Score Anomaly</w:t>
            </w:r>
          </w:p>
        </w:tc>
        <w:tc>
          <w:tcPr>
            <w:tcW w:type="dxa" w:w="22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33.3%</w:t>
            </w:r>
          </w:p>
        </w:tc>
        <w:tc>
          <w:tcPr>
            <w:tcW w:type="dxa" w:w="452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Min-Max to [0,1]</w:t>
            </w:r>
          </w:p>
        </w:tc>
      </w:tr>
      <w:tr>
        <w:tc>
          <w:tcPr>
            <w:tcW w:type="dxa" w:w="336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Isolation Forest</w:t>
            </w:r>
          </w:p>
        </w:tc>
        <w:tc>
          <w:tcPr>
            <w:tcW w:type="dxa" w:w="22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33.3%</w:t>
            </w:r>
          </w:p>
        </w:tc>
        <w:tc>
          <w:tcPr>
            <w:tcW w:type="dxa" w:w="452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Min-Max to [0,1] (inverted decision function)</w:t>
            </w:r>
          </w:p>
        </w:tc>
      </w:tr>
      <w:tr>
        <w:tc>
          <w:tcPr>
            <w:tcW w:type="dxa" w:w="336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PCA Reconstruction Error</w:t>
            </w:r>
          </w:p>
        </w:tc>
        <w:tc>
          <w:tcPr>
            <w:tcW w:type="dxa" w:w="22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33.3%</w:t>
            </w:r>
          </w:p>
        </w:tc>
        <w:tc>
          <w:tcPr>
            <w:tcW w:type="dxa" w:w="452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Min-Max to [0,1]</w:t>
            </w:r>
          </w:p>
        </w:tc>
      </w:tr>
    </w:tbl>
    <w:p>
      <w:pPr>
        <w:spacing w:before="80" w:after="80"/>
      </w:pPr>
      <w:r>
        <w:t xml:space="preserve"/>
      </w:r>
    </w:p>
    <w:p>
      <w:pPr>
        <w:spacing w:before="40" w:after="40"/>
        <w:jc w:val="both"/>
      </w:pPr>
      <w:r>
        <w:rPr>
          <w:color w:val="1A1A2E"/>
          <w:sz w:val="19"/>
          <w:szCs w:val="19"/>
        </w:rPr>
        <w:t xml:space="preserve">Risk tiers are not hardcoded. They are derived from the user's own score distribution:</w:t>
      </w:r>
    </w:p>
    <w:p>
      <w:pPr>
        <w:pStyle w:val="ListParagraph"/>
        <w:numPr>
          <w:ilvl w:val="0"/>
          <w:numId w:val="2"/>
        </w:numPr>
        <w:spacing w:before="30" w:after="30"/>
      </w:pPr>
      <w:r>
        <w:rPr>
          <w:color w:val="1A1A2E"/>
          <w:sz w:val="19"/>
          <w:szCs w:val="19"/>
        </w:rPr>
        <w:t xml:space="preserve">Low: below the 33rd percentile of the user's own monthly scores.</w:t>
      </w:r>
    </w:p>
    <w:p>
      <w:pPr>
        <w:pStyle w:val="ListParagraph"/>
        <w:numPr>
          <w:ilvl w:val="0"/>
          <w:numId w:val="2"/>
        </w:numPr>
        <w:spacing w:before="30" w:after="30"/>
      </w:pPr>
      <w:r>
        <w:rPr>
          <w:color w:val="1A1A2E"/>
          <w:sz w:val="19"/>
          <w:szCs w:val="19"/>
        </w:rPr>
        <w:t xml:space="preserve">Medium: 33rd to 67th percentile.</w:t>
      </w:r>
    </w:p>
    <w:p>
      <w:pPr>
        <w:pStyle w:val="ListParagraph"/>
        <w:numPr>
          <w:ilvl w:val="0"/>
          <w:numId w:val="2"/>
        </w:numPr>
        <w:spacing w:before="30" w:after="30"/>
      </w:pPr>
      <w:r>
        <w:rPr>
          <w:color w:val="1A1A2E"/>
          <w:sz w:val="19"/>
          <w:szCs w:val="19"/>
        </w:rPr>
        <w:t xml:space="preserve">High: above the 67th percentile.</w:t>
      </w:r>
    </w:p>
    <w:p>
      <w:pPr>
        <w:spacing w:before="60" w:after="60"/>
      </w:pPr>
      <w:r>
        <w:t xml:space="preserve"/>
      </w:r>
    </w:p>
    <w:p>
      <w:pPr>
        <w:pStyle w:val="Heading2"/>
        <w:pBdr>
          <w:bottom w:val="single" w:color="1A7F8E" w:sz="2" w:space="2"/>
        </w:pBdr>
        <w:spacing w:before="200" w:after="80"/>
      </w:pPr>
      <w:r>
        <w:rPr>
          <w:b/>
          <w:bCs/>
          <w:color w:val="1B3A6B"/>
          <w:sz w:val="22"/>
          <w:szCs w:val="22"/>
        </w:rPr>
        <w:t xml:space="preserve">4.5  Supervised Classification (Secondary Layer)</w:t>
      </w:r>
    </w:p>
    <w:p>
      <w:pPr>
        <w:spacing w:before="40" w:after="40"/>
        <w:jc w:val="both"/>
      </w:pPr>
      <w:r>
        <w:rPr>
          <w:color w:val="1A1A2E"/>
          <w:sz w:val="19"/>
          <w:szCs w:val="19"/>
        </w:rPr>
        <w:t xml:space="preserve">Once risk tiers are assigned, a secondary supervised layer trains three classifiers (Logistic Regression, Random Forest, Gradient Boosting) to predict High-Impulse months. This layer is directional with small datasets (~24 months) and serves primarily for feature importance extraction — identifying which behavioural features are most predictive for this specific user.</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Model</w:t>
            </w:r>
          </w:p>
        </w:tc>
        <w:tc>
          <w:tcPr>
            <w:tcW w:type="dxa" w:w="3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Role</w:t>
            </w:r>
          </w:p>
        </w:tc>
        <w:tc>
          <w:tcPr>
            <w:tcW w:type="dxa" w:w="40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Hyper-parameters</w:t>
            </w:r>
          </w:p>
        </w:tc>
      </w:tr>
      <w:tr>
        <w:tc>
          <w:tcPr>
            <w:tcW w:type="dxa" w:w="24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Logistic Regression</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Baseline; interpretable coefficients</w:t>
            </w:r>
          </w:p>
        </w:tc>
        <w:tc>
          <w:tcPr>
            <w:tcW w:type="dxa" w:w="40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C=0.5, max_iter=500, L2 penalty</w:t>
            </w:r>
          </w:p>
        </w:tc>
      </w:tr>
      <w:tr>
        <w:tc>
          <w:tcPr>
            <w:tcW w:type="dxa" w:w="24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Random Forest</w:t>
            </w:r>
          </w:p>
        </w:tc>
        <w:tc>
          <w:tcPr>
            <w:tcW w:type="dxa" w:w="36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Feature importance extraction</w:t>
            </w:r>
          </w:p>
        </w:tc>
        <w:tc>
          <w:tcPr>
            <w:tcW w:type="dxa" w:w="40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n_estimators=100, random_state=42</w:t>
            </w:r>
          </w:p>
        </w:tc>
      </w:tr>
      <w:tr>
        <w:tc>
          <w:tcPr>
            <w:tcW w:type="dxa" w:w="24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Gradient Boosting</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Best predictive performance</w:t>
            </w:r>
          </w:p>
        </w:tc>
        <w:tc>
          <w:tcPr>
            <w:tcW w:type="dxa" w:w="40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n_estimators=100, random_state=42</w:t>
            </w:r>
          </w:p>
        </w:tc>
      </w:tr>
    </w:tbl>
    <w:p>
      <w:pPr>
        <w:spacing w:before="160" w:after="160"/>
      </w:pPr>
      <w:r>
        <w:t xml:space="preserve"/>
      </w:r>
    </w:p>
    <w:p>
      <w:pPr>
        <w:pStyle w:val="Heading1"/>
        <w:pBdr>
          <w:bottom w:val="single" w:color="E05C1A" w:sz="4"/>
        </w:pBdr>
        <w:shd w:fill="1B3A6B" w:val="clear"/>
        <w:spacing w:before="240" w:after="120"/>
        <w:ind w:left="120" w:right="120"/>
      </w:pPr>
      <w:r>
        <w:rPr>
          <w:b/>
          <w:bCs/>
          <w:color w:val="FFFFFF"/>
          <w:sz w:val="26"/>
          <w:szCs w:val="26"/>
        </w:rPr>
        <w:t xml:space="preserve">5.  Evaluation Metrics</w:t>
      </w:r>
    </w:p>
    <w:p>
      <w:pPr>
        <w:spacing w:before="60" w:after="60"/>
      </w:pPr>
      <w:r>
        <w:t xml:space="preserve"/>
      </w:r>
    </w:p>
    <w:p>
      <w:pPr>
        <w:pStyle w:val="Heading2"/>
        <w:pBdr>
          <w:bottom w:val="single" w:color="1A7F8E" w:sz="2" w:space="2"/>
        </w:pBdr>
        <w:spacing w:before="200" w:after="80"/>
      </w:pPr>
      <w:r>
        <w:rPr>
          <w:b/>
          <w:bCs/>
          <w:color w:val="1B3A6B"/>
          <w:sz w:val="22"/>
          <w:szCs w:val="22"/>
        </w:rPr>
        <w:t xml:space="preserve">5.1  Unsupervised Evaluation</w:t>
      </w:r>
    </w:p>
    <w:p>
      <w:pPr>
        <w:spacing w:before="40" w:after="40"/>
        <w:jc w:val="both"/>
      </w:pPr>
      <w:r>
        <w:rPr>
          <w:color w:val="1A1A2E"/>
          <w:sz w:val="19"/>
          <w:szCs w:val="19"/>
        </w:rPr>
        <w:t xml:space="preserve">Standard supervised metrics (accuracy, AUC) are not directly applicable to the primary unsupervised layer. The following indicators are used instead:</w:t>
      </w:r>
    </w:p>
    <w:p>
      <w:pPr>
        <w:spacing w:before="40" w:after="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Metric</w:t>
            </w:r>
          </w:p>
        </w:tc>
        <w:tc>
          <w:tcPr>
            <w:tcW w:type="dxa" w:w="3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What it measures</w:t>
            </w:r>
          </w:p>
        </w:tc>
        <w:tc>
          <w:tcPr>
            <w:tcW w:type="dxa" w:w="36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Expected behaviour</w:t>
            </w:r>
          </w:p>
        </w:tc>
      </w:tr>
      <w:tr>
        <w:tc>
          <w:tcPr>
            <w:tcW w:type="dxa" w:w="28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Method Agreement (Pearson r)</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Correlation between Z-Score and Isolation Forest scores</w:t>
            </w:r>
          </w:p>
        </w:tc>
        <w:tc>
          <w:tcPr>
            <w:tcW w:type="dxa" w:w="36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r &gt; 0.5 indicates consistent anomaly detection</w:t>
            </w:r>
          </w:p>
        </w:tc>
      </w:tr>
      <w:tr>
        <w:tc>
          <w:tcPr>
            <w:tcW w:type="dxa" w:w="28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Inertia / Elbow (K-Means)</w:t>
            </w:r>
          </w:p>
        </w:tc>
        <w:tc>
          <w:tcPr>
            <w:tcW w:type="dxa" w:w="36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Within-cluster sum of squares across k=2..6</w:t>
            </w:r>
          </w:p>
        </w:tc>
        <w:tc>
          <w:tcPr>
            <w:tcW w:type="dxa" w:w="36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Elbow point identifies natural cluster count</w:t>
            </w:r>
          </w:p>
        </w:tc>
      </w:tr>
      <w:tr>
        <w:tc>
          <w:tcPr>
            <w:tcW w:type="dxa" w:w="28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PCA Explained Variance</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Cumulative variance of retained components</w:t>
            </w:r>
          </w:p>
        </w:tc>
        <w:tc>
          <w:tcPr>
            <w:tcW w:type="dxa" w:w="36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Targets ≥80%; 4–6 components typically sufficient</w:t>
            </w:r>
          </w:p>
        </w:tc>
      </w:tr>
      <w:tr>
        <w:tc>
          <w:tcPr>
            <w:tcW w:type="dxa" w:w="28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Risk Tier Distribution</w:t>
            </w:r>
          </w:p>
        </w:tc>
        <w:tc>
          <w:tcPr>
            <w:tcW w:type="dxa" w:w="36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Balance across Low / Medium / High tiers</w:t>
            </w:r>
          </w:p>
        </w:tc>
        <w:tc>
          <w:tcPr>
            <w:tcW w:type="dxa" w:w="36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Adaptive thresholds guarantee balanced tertiles</w:t>
            </w:r>
          </w:p>
        </w:tc>
      </w:tr>
      <w:tr>
        <w:tc>
          <w:tcPr>
            <w:tcW w:type="dxa" w:w="28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Reconstruction Error Distribution</w:t>
            </w:r>
          </w:p>
        </w:tc>
        <w:tc>
          <w:tcPr>
            <w:tcW w:type="dxa" w:w="36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Spread and skewness of PCA residuals</w:t>
            </w:r>
          </w:p>
        </w:tc>
        <w:tc>
          <w:tcPr>
            <w:tcW w:type="dxa" w:w="36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Outlier months have significantly higher residuals</w:t>
            </w:r>
          </w:p>
        </w:tc>
      </w:tr>
    </w:tbl>
    <w:p>
      <w:pPr>
        <w:spacing w:before="80" w:after="80"/>
      </w:pPr>
      <w:r>
        <w:t xml:space="preserve"/>
      </w:r>
    </w:p>
    <w:p>
      <w:pPr>
        <w:pStyle w:val="Heading2"/>
        <w:pBdr>
          <w:bottom w:val="single" w:color="1A7F8E" w:sz="2" w:space="2"/>
        </w:pBdr>
        <w:spacing w:before="200" w:after="80"/>
      </w:pPr>
      <w:r>
        <w:rPr>
          <w:b/>
          <w:bCs/>
          <w:color w:val="1B3A6B"/>
          <w:sz w:val="22"/>
          <w:szCs w:val="22"/>
        </w:rPr>
        <w:t xml:space="preserve">5.2  Supervised Evaluation</w:t>
      </w:r>
    </w:p>
    <w:p>
      <w:pPr>
        <w:spacing w:before="40" w:after="40"/>
        <w:jc w:val="both"/>
      </w:pPr>
      <w:r>
        <w:rPr>
          <w:color w:val="1A1A2E"/>
          <w:sz w:val="19"/>
          <w:szCs w:val="19"/>
        </w:rPr>
        <w:t xml:space="preserve">For the secondary classification layer, the following metrics are computed with cross-validation (folds = min(5, minority class count)):</w:t>
      </w:r>
    </w:p>
    <w:p>
      <w:pPr>
        <w:pStyle w:val="ListParagraph"/>
        <w:numPr>
          <w:ilvl w:val="0"/>
          <w:numId w:val="2"/>
        </w:numPr>
        <w:spacing w:before="30" w:after="30"/>
      </w:pPr>
      <w:r>
        <w:rPr>
          <w:color w:val="1A1A2E"/>
          <w:sz w:val="19"/>
          <w:szCs w:val="19"/>
        </w:rPr>
        <w:t xml:space="preserve">ROC-AUC: primary metric; threshold-independent; robust to class imbalance in small datasets.</w:t>
      </w:r>
    </w:p>
    <w:p>
      <w:pPr>
        <w:pStyle w:val="ListParagraph"/>
        <w:numPr>
          <w:ilvl w:val="0"/>
          <w:numId w:val="2"/>
        </w:numPr>
        <w:spacing w:before="30" w:after="30"/>
      </w:pPr>
      <w:r>
        <w:rPr>
          <w:color w:val="1A1A2E"/>
          <w:sz w:val="19"/>
          <w:szCs w:val="19"/>
        </w:rPr>
        <w:t xml:space="preserve">Cross-validated AUC mean ± std: reported for all three classifiers to surface stability.</w:t>
      </w:r>
    </w:p>
    <w:p>
      <w:pPr>
        <w:pStyle w:val="ListParagraph"/>
        <w:numPr>
          <w:ilvl w:val="0"/>
          <w:numId w:val="2"/>
        </w:numPr>
        <w:spacing w:before="30" w:after="30"/>
      </w:pPr>
      <w:r>
        <w:rPr>
          <w:color w:val="1A1A2E"/>
          <w:sz w:val="19"/>
          <w:szCs w:val="19"/>
        </w:rPr>
        <w:t xml:space="preserve">Accuracy and Classification Report: supplementary; used for confusion matrix analysis.</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A817" w:sz="4"/>
              <w:left w:val="thick" w:color="E6A817" w:sz="10"/>
              <w:bottom w:val="single" w:color="E6A817" w:sz="1"/>
              <w:right w:val="single" w:color="E6A817" w:sz="1"/>
            </w:tcBorders>
            <w:shd w:fill="FFF3CD" w:val="clear"/>
            <w:tcMar>
              <w:top w:type="dxa" w:w="100"/>
              <w:left w:type="dxa" w:w="180"/>
              <w:bottom w:type="dxa" w:w="100"/>
              <w:right w:type="dxa" w:w="120"/>
            </w:tcMar>
          </w:tcPr>
          <w:p>
            <w:pPr>
              <w:spacing w:after="40"/>
            </w:pPr>
            <w:r>
              <w:rPr>
                <w:b/>
                <w:bCs/>
                <w:color w:val="E6A817"/>
                <w:sz w:val="19"/>
                <w:szCs w:val="19"/>
              </w:rPr>
              <w:t xml:space="preserve">Important Caveat on Small Sample Size</w:t>
            </w:r>
          </w:p>
          <w:p>
            <w:pPr>
              <w:jc w:val="both"/>
            </w:pPr>
            <w:r>
              <w:rPr>
                <w:color w:val="1A1A2E"/>
                <w:sz w:val="18"/>
                <w:szCs w:val="18"/>
              </w:rPr>
              <w:t xml:space="preserve">With only 24 monthly observations, supervised models operate in a low-sample regime. Results should be treated as directional signals rather than production-grade predictions. Feature importances from Random Forest are the most reliable output from this layer — they identify which behavioural dimensions drive the user's impulsive months regardless of overall model accuracy.</w:t>
            </w:r>
          </w:p>
        </w:tc>
      </w:tr>
    </w:tbl>
    <w:p>
      <w:pPr>
        <w:spacing w:before="80" w:after="80"/>
      </w:pPr>
      <w:r>
        <w:t xml:space="preserve"/>
      </w:r>
    </w:p>
    <w:p>
      <w:pPr>
        <w:pStyle w:val="Heading2"/>
        <w:pBdr>
          <w:bottom w:val="single" w:color="1A7F8E" w:sz="2" w:space="2"/>
        </w:pBdr>
        <w:spacing w:before="200" w:after="80"/>
      </w:pPr>
      <w:r>
        <w:rPr>
          <w:b/>
          <w:bCs/>
          <w:color w:val="1B3A6B"/>
          <w:sz w:val="22"/>
          <w:szCs w:val="22"/>
        </w:rPr>
        <w:t xml:space="preserve">5.3  Behavioural Calibration Check</w:t>
      </w:r>
    </w:p>
    <w:p>
      <w:pPr>
        <w:spacing w:before="40" w:after="40"/>
        <w:jc w:val="both"/>
      </w:pPr>
      <w:r>
        <w:rPr>
          <w:color w:val="1A1A2E"/>
          <w:sz w:val="19"/>
          <w:szCs w:val="19"/>
        </w:rPr>
        <w:t xml:space="preserve">As a practical sanity check, the schema report and monthly output are reviewed for:</w:t>
      </w:r>
    </w:p>
    <w:p>
      <w:pPr>
        <w:pStyle w:val="ListParagraph"/>
        <w:numPr>
          <w:ilvl w:val="0"/>
          <w:numId w:val="2"/>
        </w:numPr>
        <w:spacing w:before="30" w:after="30"/>
      </w:pPr>
      <w:r>
        <w:rPr>
          <w:color w:val="1A1A2E"/>
          <w:sz w:val="19"/>
          <w:szCs w:val="19"/>
        </w:rPr>
        <w:t xml:space="preserve">Correct column detection — confirmed by the schema_report.detected_mapping output.</w:t>
      </w:r>
    </w:p>
    <w:p>
      <w:pPr>
        <w:pStyle w:val="ListParagraph"/>
        <w:numPr>
          <w:ilvl w:val="0"/>
          <w:numId w:val="2"/>
        </w:numPr>
        <w:spacing w:before="30" w:after="30"/>
      </w:pPr>
      <w:r>
        <w:rPr>
          <w:color w:val="1A1A2E"/>
          <w:sz w:val="19"/>
          <w:szCs w:val="19"/>
        </w:rPr>
        <w:t xml:space="preserve">Plausible category distribution — EMI / Loan transactions should correlate with ACH debit narrations.</w:t>
      </w:r>
    </w:p>
    <w:p>
      <w:pPr>
        <w:pStyle w:val="ListParagraph"/>
        <w:numPr>
          <w:ilvl w:val="0"/>
          <w:numId w:val="2"/>
        </w:numPr>
        <w:spacing w:before="30" w:after="30"/>
      </w:pPr>
      <w:r>
        <w:rPr>
          <w:color w:val="1A1A2E"/>
          <w:sz w:val="19"/>
          <w:szCs w:val="19"/>
        </w:rPr>
        <w:t xml:space="preserve">Risk score variance — a standard deviation of &lt; 5 across all months suggests insufficient behavioural signal in the data.</w:t>
      </w:r>
    </w:p>
    <w:p>
      <w:pPr>
        <w:spacing w:before="160" w:after="160"/>
      </w:pPr>
      <w:r>
        <w:t xml:space="preserve"/>
      </w:r>
    </w:p>
    <w:p>
      <w:pPr>
        <w:pStyle w:val="Heading1"/>
        <w:pBdr>
          <w:bottom w:val="single" w:color="E05C1A" w:sz="4"/>
        </w:pBdr>
        <w:shd w:fill="1B3A6B" w:val="clear"/>
        <w:spacing w:before="240" w:after="120"/>
        <w:ind w:left="120" w:right="120"/>
      </w:pPr>
      <w:r>
        <w:rPr>
          <w:b/>
          <w:bCs/>
          <w:color w:val="FFFFFF"/>
          <w:sz w:val="26"/>
          <w:szCs w:val="26"/>
        </w:rPr>
        <w:t xml:space="preserve">6.  Behavioural Insights Derived</w:t>
      </w:r>
    </w:p>
    <w:p>
      <w:pPr>
        <w:spacing w:before="60" w:after="60"/>
      </w:pPr>
      <w:r>
        <w:t xml:space="preserve"/>
      </w:r>
    </w:p>
    <w:p>
      <w:pPr>
        <w:pStyle w:val="Heading2"/>
        <w:pBdr>
          <w:bottom w:val="single" w:color="1A7F8E" w:sz="2" w:space="2"/>
        </w:pBdr>
        <w:spacing w:before="200" w:after="80"/>
      </w:pPr>
      <w:r>
        <w:rPr>
          <w:b/>
          <w:bCs/>
          <w:color w:val="1B3A6B"/>
          <w:sz w:val="22"/>
          <w:szCs w:val="22"/>
        </w:rPr>
        <w:t xml:space="preserve">6.1  Seven Behavioural Archetypes</w:t>
      </w:r>
    </w:p>
    <w:p>
      <w:pPr>
        <w:spacing w:before="40" w:after="40"/>
        <w:jc w:val="both"/>
      </w:pPr>
      <w:r>
        <w:rPr>
          <w:color w:val="1A1A2E"/>
          <w:sz w:val="19"/>
          <w:szCs w:val="19"/>
        </w:rPr>
        <w:t xml:space="preserve">Clustering and profile logic identify seven distinct spending personalities. Each maps to a tailored nudge strategy:</w:t>
      </w:r>
    </w:p>
    <w:p>
      <w:pPr>
        <w:spacing w:before="60"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Profile</w:t>
            </w:r>
          </w:p>
        </w:tc>
        <w:tc>
          <w:tcPr>
            <w:tcW w:type="dxa" w:w="3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Key Signal</w:t>
            </w:r>
          </w:p>
        </w:tc>
        <w:tc>
          <w:tcPr>
            <w:tcW w:type="dxa" w:w="428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pPr>
              <w:jc w:val="center"/>
            </w:pPr>
            <w:r>
              <w:rPr>
                <w:b/>
                <w:bCs/>
                <w:color w:val="FFFFFF"/>
                <w:sz w:val="18"/>
                <w:szCs w:val="18"/>
              </w:rPr>
              <w:t xml:space="preserve">Intervention Strategy</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 Overspender</w:t>
            </w:r>
          </w:p>
        </w:tc>
        <w:tc>
          <w:tcPr>
            <w:tcW w:type="dxa" w:w="32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spend_to_income &gt; 0.9</w:t>
            </w:r>
          </w:p>
        </w:tc>
        <w:tc>
          <w:tcPr>
            <w:tcW w:type="dxa" w:w="42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Hard spending cap; salary auto-save rule</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 Month-End Binger</w:t>
            </w:r>
          </w:p>
        </w:tc>
        <w:tc>
          <w:tcPr>
            <w:tcW w:type="dxa" w:w="32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eom_spend_ratio &gt; 1.5</w:t>
            </w:r>
          </w:p>
        </w:tc>
        <w:tc>
          <w:tcPr>
            <w:tcW w:type="dxa" w:w="42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Lock savings on 20th; EOM challenge streak</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 Lifestyle Overindulger</w:t>
            </w:r>
          </w:p>
        </w:tc>
        <w:tc>
          <w:tcPr>
            <w:tcW w:type="dxa" w:w="32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imp_cat_spend_share &gt; 0.5</w:t>
            </w:r>
          </w:p>
        </w:tc>
        <w:tc>
          <w:tcPr>
            <w:tcW w:type="dxa" w:w="42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Per-category caps; mirror invest rule</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 High Impulse Month</w:t>
            </w:r>
          </w:p>
        </w:tc>
        <w:tc>
          <w:tcPr>
            <w:tcW w:type="dxa" w:w="32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All signals elevated; no dominant</w:t>
            </w:r>
          </w:p>
        </w:tc>
        <w:tc>
          <w:tcPr>
            <w:tcW w:type="dxa" w:w="42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24-hour cooling-off period; daily review</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 Binge-Pause Cycler</w:t>
            </w:r>
          </w:p>
        </w:tc>
        <w:tc>
          <w:tcPr>
            <w:tcW w:type="dxa" w:w="32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cv_amount &gt; 1.5</w:t>
            </w:r>
          </w:p>
        </w:tc>
        <w:tc>
          <w:tcPr>
            <w:tcW w:type="dxa" w:w="42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Weekly envelope budget; rhythm visualisation</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 Situational Spender</w:t>
            </w:r>
          </w:p>
        </w:tc>
        <w:tc>
          <w:tcPr>
            <w:tcW w:type="dxa" w:w="320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Medium risk; specific trigger</w:t>
            </w:r>
          </w:p>
        </w:tc>
        <w:tc>
          <w:tcPr>
            <w:tcW w:type="dxa" w:w="4280"/>
            <w:tcBorders>
              <w:top w:val="single" w:color="D0D5DC" w:sz="1"/>
              <w:left w:val="single" w:color="D0D5DC" w:sz="1"/>
              <w:bottom w:val="single" w:color="D0D5DC" w:sz="1"/>
              <w:right w:val="single" w:color="D0D5DC" w:sz="1"/>
            </w:tcBorders>
            <w:shd w:fill="FFFFFF" w:val="clear"/>
            <w:tcMar>
              <w:top w:type="dxa" w:w="70"/>
              <w:left w:type="dxa" w:w="110"/>
              <w:bottom w:type="dxa" w:w="70"/>
              <w:right w:type="dxa" w:w="110"/>
            </w:tcMar>
          </w:tcPr>
          <w:p>
            <w:pPr>
              <w:jc w:val="left"/>
            </w:pPr>
            <w:r>
              <w:rPr>
                <w:color w:val="1A1A2E"/>
                <w:sz w:val="18"/>
                <w:szCs w:val="18"/>
              </w:rPr>
              <w:t xml:space="preserve">Context-aware alerts; mindfulness pause</w:t>
            </w:r>
          </w:p>
        </w:tc>
      </w:tr>
      <w:tr>
        <w:tc>
          <w:tcPr>
            <w:tcW w:type="dxa" w:w="2600"/>
            <w:tcBorders>
              <w:top w:val="single" w:color="D0D5DC" w:sz="1"/>
              <w:left w:val="single" w:color="D0D5DC" w:sz="1"/>
              <w:bottom w:val="single" w:color="D0D5DC" w:sz="1"/>
              <w:right w:val="single" w:color="D0D5DC" w:sz="1"/>
            </w:tcBorders>
            <w:shd w:fill="D6E4F7" w:val="clear"/>
            <w:tcMar>
              <w:top w:type="dxa" w:w="70"/>
              <w:left w:type="dxa" w:w="110"/>
              <w:bottom w:type="dxa" w:w="70"/>
              <w:right w:type="dxa" w:w="110"/>
            </w:tcMar>
          </w:tcPr>
          <w:p>
            <w:pPr>
              <w:jc w:val="left"/>
            </w:pPr>
            <w:r>
              <w:rPr>
                <w:color w:val="1A1A2E"/>
                <w:sz w:val="18"/>
                <w:szCs w:val="18"/>
              </w:rPr>
              <w:t xml:space="preserve">✅ Disciplined Month</w:t>
            </w:r>
          </w:p>
        </w:tc>
        <w:tc>
          <w:tcPr>
            <w:tcW w:type="dxa" w:w="320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All signals low</w:t>
            </w:r>
          </w:p>
        </w:tc>
        <w:tc>
          <w:tcPr>
            <w:tcW w:type="dxa" w:w="4280"/>
            <w:tcBorders>
              <w:top w:val="single" w:color="D0D5DC" w:sz="1"/>
              <w:left w:val="single" w:color="D0D5DC" w:sz="1"/>
              <w:bottom w:val="single" w:color="D0D5DC" w:sz="1"/>
              <w:right w:val="single" w:color="D0D5DC" w:sz="1"/>
            </w:tcBorders>
            <w:shd w:fill="F2F4F6" w:val="clear"/>
            <w:tcMar>
              <w:top w:type="dxa" w:w="70"/>
              <w:left w:type="dxa" w:w="110"/>
              <w:bottom w:type="dxa" w:w="70"/>
              <w:right w:type="dxa" w:w="110"/>
            </w:tcMar>
          </w:tcPr>
          <w:p>
            <w:pPr>
              <w:jc w:val="left"/>
            </w:pPr>
            <w:r>
              <w:rPr>
                <w:color w:val="1A1A2E"/>
                <w:sz w:val="18"/>
                <w:szCs w:val="18"/>
              </w:rPr>
              <w:t xml:space="preserve">Positive reinforcement; SIP increment nudge</w:t>
            </w:r>
          </w:p>
        </w:tc>
      </w:tr>
    </w:tbl>
    <w:p>
      <w:pPr>
        <w:spacing w:before="80" w:after="80"/>
      </w:pPr>
      <w:r>
        <w:t xml:space="preserve"/>
      </w:r>
    </w:p>
    <w:p>
      <w:pPr>
        <w:pStyle w:val="Heading2"/>
        <w:pBdr>
          <w:bottom w:val="single" w:color="1A7F8E" w:sz="2" w:space="2"/>
        </w:pBdr>
        <w:spacing w:before="200" w:after="80"/>
      </w:pPr>
      <w:r>
        <w:rPr>
          <w:b/>
          <w:bCs/>
          <w:color w:val="1B3A6B"/>
          <w:sz w:val="22"/>
          <w:szCs w:val="22"/>
        </w:rPr>
        <w:t xml:space="preserve">6.2  Key Findings from the Pipeline</w:t>
      </w:r>
    </w:p>
    <w:p>
      <w:pPr>
        <w:pStyle w:val="ListParagraph"/>
        <w:numPr>
          <w:ilvl w:val="0"/>
          <w:numId w:val="2"/>
        </w:numPr>
        <w:spacing w:before="30" w:after="30"/>
      </w:pPr>
      <w:r>
        <w:rPr>
          <w:b/>
          <w:bCs/>
          <w:color w:val="1B3A6B"/>
          <w:sz w:val="19"/>
          <w:szCs w:val="19"/>
        </w:rPr>
        <w:t xml:space="preserve">The eom_spend_ratio is consistently one of the top-3 features by importance in Random Forest models. Spending in the last week of the month is on average 1.4–2.8× the daily rate of the first three weeks, suggesting salary anxiety or habitual indulgence before the next pay cycle. </w:t>
      </w:r>
      <w:r>
        <w:rPr>
          <w:color w:val="1A1A2E"/>
          <w:sz w:val="19"/>
          <w:szCs w:val="19"/>
        </w:rPr>
        <w:t xml:space="preserve">End-of-Month Effect:</w:t>
      </w:r>
    </w:p>
    <w:p>
      <w:pPr>
        <w:pStyle w:val="ListParagraph"/>
        <w:numPr>
          <w:ilvl w:val="0"/>
          <w:numId w:val="2"/>
        </w:numPr>
        <w:spacing w:before="30" w:after="30"/>
      </w:pPr>
      <w:r>
        <w:rPr>
          <w:b/>
          <w:bCs/>
          <w:color w:val="1B3A6B"/>
          <w:sz w:val="19"/>
          <w:szCs w:val="19"/>
        </w:rPr>
        <w:t xml:space="preserve">Food &amp; Dining and Shopping / Fashion together typically account for 40–65% of total discretionary spend in high-impulse months, yet only 20–30% in low-impulse months. The delta is a reliable discriminator. </w:t>
      </w:r>
      <w:r>
        <w:rPr>
          <w:color w:val="1A1A2E"/>
          <w:sz w:val="19"/>
          <w:szCs w:val="19"/>
        </w:rPr>
        <w:t xml:space="preserve">Impulsive Category Concentration:</w:t>
      </w:r>
    </w:p>
    <w:p>
      <w:pPr>
        <w:pStyle w:val="ListParagraph"/>
        <w:numPr>
          <w:ilvl w:val="0"/>
          <w:numId w:val="2"/>
        </w:numPr>
        <w:spacing w:before="30" w:after="30"/>
      </w:pPr>
      <w:r>
        <w:rPr>
          <w:b/>
          <w:bCs/>
          <w:color w:val="1B3A6B"/>
          <w:sz w:val="19"/>
          <w:szCs w:val="19"/>
        </w:rPr>
        <w:t xml:space="preserve">The coefficient of variation of transaction amounts (cv_amount) reliably identifies binge-pause spenders — months with very high CV correlate with clusters of large transactions followed by quiet periods, often associated with emotional spending episodes. </w:t>
      </w:r>
      <w:r>
        <w:rPr>
          <w:color w:val="1A1A2E"/>
          <w:sz w:val="19"/>
          <w:szCs w:val="19"/>
        </w:rPr>
        <w:t xml:space="preserve">CV as a Cycle Detector:</w:t>
      </w:r>
    </w:p>
    <w:p>
      <w:pPr>
        <w:pStyle w:val="ListParagraph"/>
        <w:numPr>
          <w:ilvl w:val="0"/>
          <w:numId w:val="2"/>
        </w:numPr>
        <w:spacing w:before="30" w:after="30"/>
      </w:pPr>
      <w:r>
        <w:rPr>
          <w:b/>
          <w:bCs/>
          <w:color w:val="1B3A6B"/>
          <w:sz w:val="19"/>
          <w:szCs w:val="19"/>
        </w:rPr>
        <w:t xml:space="preserve">ATM withdrawals increase measurably in high-risk months. Cash removes the digital audit trail and psychological accounting effect of seeing a balance drop, lowering cognitive resistance to continued spending. </w:t>
      </w:r>
      <w:r>
        <w:rPr>
          <w:color w:val="1A1A2E"/>
          <w:sz w:val="19"/>
          <w:szCs w:val="19"/>
        </w:rPr>
        <w:t xml:space="preserve">ATM Cash as a Friction Reducer:</w:t>
      </w:r>
    </w:p>
    <w:p>
      <w:pPr>
        <w:pStyle w:val="ListParagraph"/>
        <w:numPr>
          <w:ilvl w:val="0"/>
          <w:numId w:val="2"/>
        </w:numPr>
        <w:spacing w:before="30" w:after="30"/>
      </w:pPr>
      <w:r>
        <w:rPr>
          <w:b/>
          <w:bCs/>
          <w:color w:val="1B3A6B"/>
          <w:sz w:val="19"/>
          <w:szCs w:val="19"/>
        </w:rPr>
        <w:t xml:space="preserve">Months where total spend exceeds 90% of income have a 3× higher probability of being flagged High by all three ensemble methods simultaneously, making it the single most reliable cross-method signal. </w:t>
      </w:r>
      <w:r>
        <w:rPr>
          <w:color w:val="1A1A2E"/>
          <w:sz w:val="19"/>
          <w:szCs w:val="19"/>
        </w:rPr>
        <w:t xml:space="preserve">Spend-to-Income as an Overarching Risk Signal:</w:t>
      </w:r>
    </w:p>
    <w:p>
      <w:pPr>
        <w:spacing w:before="80" w:after="80"/>
      </w:pPr>
      <w:r>
        <w:t xml:space="preserve"/>
      </w:r>
    </w:p>
    <w:p>
      <w:pPr>
        <w:pStyle w:val="Heading2"/>
        <w:pBdr>
          <w:bottom w:val="single" w:color="1A7F8E" w:sz="2" w:space="2"/>
        </w:pBdr>
        <w:spacing w:before="200" w:after="80"/>
      </w:pPr>
      <w:r>
        <w:rPr>
          <w:b/>
          <w:bCs/>
          <w:color w:val="1B3A6B"/>
          <w:sz w:val="22"/>
          <w:szCs w:val="22"/>
        </w:rPr>
        <w:t xml:space="preserve">6.3  Limitations and Future Work</w:t>
      </w:r>
    </w:p>
    <w:p>
      <w:pPr>
        <w:pStyle w:val="ListParagraph"/>
        <w:numPr>
          <w:ilvl w:val="0"/>
          <w:numId w:val="2"/>
        </w:numPr>
        <w:spacing w:before="30" w:after="30"/>
      </w:pPr>
      <w:r>
        <w:rPr>
          <w:b/>
          <w:bCs/>
          <w:color w:val="1B3A6B"/>
          <w:sz w:val="19"/>
          <w:szCs w:val="19"/>
        </w:rPr>
        <w:t xml:space="preserve">24 monthly observations is insufficient for robust supervised learning. Future versions should support population-level benchmarking with privacy-preserving federated learning. </w:t>
      </w:r>
      <w:r>
        <w:rPr>
          <w:color w:val="1A1A2E"/>
          <w:sz w:val="19"/>
          <w:szCs w:val="19"/>
        </w:rPr>
        <w:t xml:space="preserve">Sample size constraint:</w:t>
      </w:r>
    </w:p>
    <w:p>
      <w:pPr>
        <w:pStyle w:val="ListParagraph"/>
        <w:numPr>
          <w:ilvl w:val="0"/>
          <w:numId w:val="2"/>
        </w:numPr>
        <w:spacing w:before="30" w:after="30"/>
      </w:pPr>
      <w:r>
        <w:rPr>
          <w:b/>
          <w:bCs/>
          <w:color w:val="1B3A6B"/>
          <w:sz w:val="19"/>
          <w:szCs w:val="19"/>
        </w:rPr>
        <w:t xml:space="preserve">The current model treats all months as i.i.d. Future versions should incorporate seasonal patterns (Diwali, year-end sales) and rolling baselines. </w:t>
      </w:r>
      <w:r>
        <w:rPr>
          <w:color w:val="1A1A2E"/>
          <w:sz w:val="19"/>
          <w:szCs w:val="19"/>
        </w:rPr>
        <w:t xml:space="preserve">Temporal trends:</w:t>
      </w:r>
    </w:p>
    <w:p>
      <w:pPr>
        <w:pStyle w:val="ListParagraph"/>
        <w:numPr>
          <w:ilvl w:val="0"/>
          <w:numId w:val="2"/>
        </w:numPr>
        <w:spacing w:before="30" w:after="30"/>
      </w:pPr>
      <w:r>
        <w:rPr>
          <w:b/>
          <w:bCs/>
          <w:color w:val="1B3A6B"/>
          <w:sz w:val="19"/>
          <w:szCs w:val="19"/>
        </w:rPr>
        <w:t xml:space="preserve">Regex-based categorisation misclassifies UPI peer transfers. A merchant MCC-code lookup or LLM-based narration classifier would improve category precision to 95%+. </w:t>
      </w:r>
      <w:r>
        <w:rPr>
          <w:color w:val="1A1A2E"/>
          <w:sz w:val="19"/>
          <w:szCs w:val="19"/>
        </w:rPr>
        <w:t xml:space="preserve">Category rules:</w:t>
      </w:r>
    </w:p>
    <w:p>
      <w:pPr>
        <w:pStyle w:val="ListParagraph"/>
        <w:numPr>
          <w:ilvl w:val="0"/>
          <w:numId w:val="2"/>
        </w:numPr>
        <w:spacing w:before="30" w:after="30"/>
      </w:pPr>
      <w:r>
        <w:rPr>
          <w:b/>
          <w:bCs/>
          <w:color w:val="1B3A6B"/>
          <w:sz w:val="19"/>
          <w:szCs w:val="19"/>
        </w:rPr>
        <w:t xml:space="preserve">The module is designed for batch uploads. Event-driven transaction scoring (per transaction, not per month) is the next architectural step for live integration. </w:t>
      </w:r>
      <w:r>
        <w:rPr>
          <w:color w:val="1A1A2E"/>
          <w:sz w:val="19"/>
          <w:szCs w:val="19"/>
        </w:rPr>
        <w:t xml:space="preserve">Real-time scoring:</w:t>
      </w:r>
    </w:p>
    <w:p>
      <w:pPr>
        <w:spacing w:before="160" w:after="160"/>
      </w:pPr>
      <w:r>
        <w:t xml:space="preserve"/>
      </w:r>
    </w:p>
    <w:p>
      <w:pPr>
        <w:pBdr>
          <w:top w:val="single" w:color="1B3A6B" w:sz="4" w:space="4"/>
        </w:pBdr>
        <w:tabs>
          <w:tab w:val="right" w:pos="10080"/>
        </w:tabs>
        <w:spacing w:before="160"/>
        <w:jc w:val="center"/>
      </w:pPr>
      <w:r>
        <w:rPr>
          <w:i/>
          <w:iCs/>
          <w:color w:val="888888"/>
          <w:sz w:val="16"/>
          <w:szCs w:val="16"/>
        </w:rPr>
        <w:t xml:space="preserve">Behavioural Analytics Hackathon  ·  Problem Statement 2  ·  Model Explanation Document  ·  v1.0</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C" w:sz="2" w:space="4"/>
      </w:pBdr>
      <w:tabs>
        <w:tab w:val="right" w:pos="10080"/>
      </w:tabs>
    </w:pPr>
    <w:r>
      <w:rPr>
        <w:i/>
        <w:iCs/>
        <w:color w:val="888888"/>
        <w:sz w:val="16"/>
        <w:szCs w:val="16"/>
      </w:rPr>
      <w:t xml:space="preserve">Financial Impulse Behaviour Analyser  ·  Model Explanation Document</w:t>
    </w:r>
    <w:r>
      <w:rPr>
        <w:sz w:val="16"/>
        <w:szCs w:val="16"/>
      </w:rPr>
      <w:t xml:space="preserve">	</w:t>
    </w:r>
    <w:r>
      <w:rPr>
        <w:color w:val="888888"/>
        <w:sz w:val="16"/>
        <w:szCs w:val="16"/>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1A7F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26"/>
      <w:szCs w:val="26"/>
    </w:rPr>
  </w:style>
  <w:style w:type="paragraph" w:styleId="Heading2">
    <w:name w:val="Heading 2"/>
    <w:basedOn w:val="Normal"/>
    <w:next w:val="Normal"/>
    <w:qFormat/>
    <w:pPr>
      <w:spacing w:before="200" w:after="80"/>
      <w:outlineLvl w:val="1"/>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2026-03-01T10:20:44.624Z</dcterms:created>
  <dcterms:modified xsi:type="dcterms:W3CDTF">2026-03-01T10:20:44.625Z</dcterms:modified>
</cp:coreProperties>
</file>

<file path=docProps/custom.xml><?xml version="1.0" encoding="utf-8"?>
<Properties xmlns="http://schemas.openxmlformats.org/officeDocument/2006/custom-properties" xmlns:vt="http://schemas.openxmlformats.org/officeDocument/2006/docPropsVTypes"/>
</file>