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bookmarkStart w:id="0" w:name="user-content-empirical-analysis-of-priva"/>
      <w:bookmarkEnd w:id="0"/>
      <w:r>
        <w:rPr/>
        <w:t>EMPIRICAL ANALYSIS OF PRIVATE UNAIDED SCHOOL ENROLMENT IN INDIA: A LOG-NORMAL PROBABILITY MODELING AND MULTIPLE REGRESSION APPROACH FOR EDUCATIONAL INFRASTRUCTURE PLANNING</w:t>
      </w:r>
    </w:p>
    <w:p>
      <w:pPr>
        <w:pStyle w:val="BodyText"/>
        <w:bidi w:val="0"/>
        <w:ind w:hanging="0" w:start="0" w:end="0"/>
        <w:jc w:val="start"/>
        <w:rPr/>
      </w:pPr>
      <w:r>
        <w:rPr>
          <w:rStyle w:val="Strong"/>
        </w:rPr>
        <w:t>Domain:</w:t>
      </w:r>
      <w:r>
        <w:rPr/>
        <w:t> Education Policy, Demographic Analytics &amp; School Infrastructure Planning</w:t>
        <w:br/>
      </w:r>
      <w:r>
        <w:rPr>
          <w:rStyle w:val="Strong"/>
        </w:rPr>
        <w:t>Data Source:</w:t>
      </w:r>
      <w:r>
        <w:rPr/>
        <w:t> Unified District Information System for Education Plus (UDISE+), Ministry of Education, Government of India (via data.gov.in)</w:t>
        <w:br/>
      </w:r>
      <w:r>
        <w:rPr>
          <w:rStyle w:val="Strong"/>
        </w:rPr>
        <w:t>Methodological Scope:</w:t>
      </w:r>
      <w:r>
        <w:rPr/>
        <w:t> Exploratory Data Analysis, Non-Gaussian Parametric Modeling, Multiple Linear Econometric Regression, and Policy Simulation</w:t>
      </w:r>
    </w:p>
    <w:p>
      <w:pPr>
        <w:pStyle w:val="HorizontalLine"/>
        <w:bidi w:val="0"/>
        <w:jc w:val="start"/>
        <w:rPr/>
      </w:pPr>
      <w:r>
        <w:rPr/>
      </w:r>
    </w:p>
    <w:p>
      <w:pPr>
        <w:pStyle w:val="Heading2"/>
        <w:bidi w:val="0"/>
        <w:ind w:hanging="0" w:start="0" w:end="0"/>
        <w:jc w:val="start"/>
        <w:rPr/>
      </w:pPr>
      <w:bookmarkStart w:id="1" w:name="user-content-executive-summary"/>
      <w:bookmarkEnd w:id="1"/>
      <w:r>
        <w:rPr/>
        <w:t>EXECUTIVE SUMMARY</w:t>
      </w:r>
    </w:p>
    <w:p>
      <w:pPr>
        <w:pStyle w:val="BodyText"/>
        <w:bidi w:val="0"/>
        <w:ind w:hanging="0" w:start="0" w:end="0"/>
        <w:jc w:val="start"/>
        <w:rPr/>
      </w:pPr>
      <w:r>
        <w:rPr/>
        <w:t>This academic research report presents a comprehensive empirical evaluation of school enrolment dynamics within private unaided recognized educational institutions across India. Utilizing administrative open data from the Unified District Information System for Education (UDISE+), the study analyzes N=560N=560 disaggregated observations spanning 35 States and Union Territories (UTs), 8 distinct educational levels (Primary, Upper Primary, Secondary, and Higher Secondary sub-grades), and 2 gender categories (Boys and Girls).</w:t>
      </w:r>
    </w:p>
    <w:p>
      <w:pPr>
        <w:pStyle w:val="BodyText"/>
        <w:bidi w:val="0"/>
        <w:ind w:hanging="0" w:start="0" w:end="0"/>
        <w:jc w:val="start"/>
        <w:rPr/>
      </w:pPr>
      <w:r>
        <w:rPr/>
        <w:t>The empirical findings reveal severe right-skewness (Skewness=+5.250Skewness=+5.250, Kurtosis=+37.026Kurtosis=+37.026) in raw enrolment counts (Mean=555,685.35Mean=555,685.35 vs. Median=127,931.50Median=127,931.50), invalidating traditional Gaussian parametric assumptions and highlighting the necessity of non-parametric measures (IQR=540,276.50IQR=540,276.50) and logarithmic transformations (ln⁡(Enrolment)ln(Enrolment)). Probability density modeling demonstrates that enrolment follows a Log-Normal distribution LogNormal(μ=11.6112,σ=2.1377)LogNormal(μ=11.6112,σ=2.1377). Using this fitted distribution, the threshold risk of school under-enrolment (X≤21,822X≤21,822 students) is quantified at P(X≤21,822)=0.2242P(X≤21,822)=0.2242 (22.42%22.42%), identifying a critical vulnerability zone for small States and UTs.</w:t>
      </w:r>
    </w:p>
    <w:p>
      <w:pPr>
        <w:pStyle w:val="BodyText"/>
        <w:bidi w:val="0"/>
        <w:ind w:hanging="0" w:start="0" w:end="0"/>
        <w:jc w:val="start"/>
        <w:rPr/>
      </w:pPr>
      <w:r>
        <w:rPr/>
        <w:t>Furthermore, a log-log Multiple Linear Regression model (R2=0.9764R2=0.9764, F=2767.0,p&lt;0.0001F=2767.0,p&lt;0.0001) demonstrates that total state educational scale is the dominant structural determinant of private enrolment (β1=+0.9991,p&lt;0.001β1​=+0.9991,p&lt;0.001). Critically, holding state scale and grade level constant, female student enrolment in private unaided schools is </w:t>
      </w:r>
      <w:r>
        <w:rPr>
          <w:rStyle w:val="Strong"/>
        </w:rPr>
        <w:t>16.98% lower</w:t>
      </w:r>
      <w:r>
        <w:rPr/>
        <w:t> than male enrolment (β2=−0.1861,p&lt;0.001β2​=−0.1861,p&lt;0.001), pointing to persistent intra-household economic discrimination in private education expenditure. Severe enrolment drops are also identified at Secondary (γ=−1.6787,−81.33%γ=−1.6787,−81.33%) and Higher Secondary (γ=−1.9793,−86.18%γ=−1.9793,−86.18%) levels relative to Primary baselines. The report concludes with targeted, data-driven policy recommendations for infrastructure capital allocation, female educational vouchers, and public-private partnership (PPP) integration.</w:t>
      </w:r>
    </w:p>
    <w:p>
      <w:pPr>
        <w:pStyle w:val="HorizontalLine"/>
        <w:bidi w:val="0"/>
        <w:jc w:val="start"/>
        <w:rPr/>
      </w:pPr>
      <w:r>
        <w:rPr/>
      </w:r>
    </w:p>
    <w:p>
      <w:pPr>
        <w:pStyle w:val="Heading2"/>
        <w:bidi w:val="0"/>
        <w:ind w:hanging="0" w:start="0" w:end="0"/>
        <w:jc w:val="start"/>
        <w:rPr/>
      </w:pPr>
      <w:bookmarkStart w:id="2" w:name="user-content-section-1-dataset-selection"/>
      <w:bookmarkEnd w:id="2"/>
      <w:r>
        <w:rPr/>
        <w:t>SECTION 1: DATASET SELECTION, DOMAIN CONTEXT &amp; PROBLEM STATEMENT</w:t>
      </w:r>
    </w:p>
    <w:p>
      <w:pPr>
        <w:pStyle w:val="Heading3"/>
        <w:bidi w:val="0"/>
        <w:ind w:hanging="0" w:start="0" w:end="0"/>
        <w:jc w:val="start"/>
        <w:rPr/>
      </w:pPr>
      <w:bookmarkStart w:id="3" w:name="user-content-11-context-and-policy-backg"/>
      <w:bookmarkEnd w:id="3"/>
      <w:r>
        <w:rPr/>
        <w:t>1.1 Context and Policy Background</w:t>
      </w:r>
    </w:p>
    <w:p>
      <w:pPr>
        <w:pStyle w:val="BodyText"/>
        <w:bidi w:val="0"/>
        <w:ind w:hanging="0" w:start="0" w:end="0"/>
        <w:jc w:val="start"/>
        <w:rPr/>
      </w:pPr>
      <w:r>
        <w:rPr/>
        <w:t>School education in India represents one of the largest national educational systems globally, accommodating over 250 million students across public, government-aided, and private unaided institutions. Over the past two decades, the growth of Private Unaided Recognized Schools has emerged as a defining structural transformation in Indian education. According to UDISE+ administrative benchmarks, private unaided institutions now account for over 33%33% of total national student enrolment and nearly 25%25% of total school infrastructure.</w:t>
      </w:r>
    </w:p>
    <w:p>
      <w:pPr>
        <w:pStyle w:val="BodyText"/>
        <w:bidi w:val="0"/>
        <w:ind w:hanging="0" w:start="0" w:end="0"/>
        <w:jc w:val="start"/>
        <w:rPr/>
      </w:pPr>
      <w:r>
        <w:rPr/>
        <w:t>However, private school enrolment exhibits extreme spatial, demographic, and grade-level heterogeneity. High-density states such as Uttar Pradesh, Maharashtra, and Tamil Nadu absorb tens of millions of students in private systems, whereas low-density States and Union Territories (e.g., Lakshadweep, Andaman &amp; Nicobar Islands, Ladakh) experience severe under-enrolment, rendering conventional market-based private provision economically unviable. Additionally, intra-household resource allocation often favors male children for fee-paying private education, leaving female students reliant on state-funded public institutions.</w:t>
      </w:r>
    </w:p>
    <w:p>
      <w:pPr>
        <w:pStyle w:val="BodyText"/>
        <w:bidi w:val="0"/>
        <w:ind w:hanging="0" w:start="0" w:end="0"/>
        <w:jc w:val="start"/>
        <w:rPr/>
      </w:pPr>
      <w:r>
        <w:rPr/>
        <w:t>Understanding the quantitative distribution of private unaided school enrolment is crucial for:</w:t>
      </w:r>
    </w:p>
    <w:p>
      <w:pPr>
        <w:pStyle w:val="BodyText"/>
        <w:numPr>
          <w:ilvl w:val="0"/>
          <w:numId w:val="2"/>
        </w:numPr>
        <w:tabs>
          <w:tab w:val="clear" w:pos="709"/>
          <w:tab w:val="left" w:pos="709" w:leader="none"/>
        </w:tabs>
        <w:bidi w:val="0"/>
        <w:spacing w:before="0" w:after="0"/>
        <w:ind w:hanging="283" w:start="709" w:end="0"/>
        <w:jc w:val="start"/>
        <w:rPr/>
      </w:pPr>
      <w:r>
        <w:rPr>
          <w:rStyle w:val="Strong"/>
        </w:rPr>
        <w:t>Capital Infrastructure Allocation:</w:t>
      </w:r>
      <w:r>
        <w:rPr/>
        <w:t> Determining where private infrastructure fills public capacity gaps versus where public intervention is mandatory due to market failure.</w:t>
      </w:r>
    </w:p>
    <w:p>
      <w:pPr>
        <w:pStyle w:val="BodyText"/>
        <w:numPr>
          <w:ilvl w:val="0"/>
          <w:numId w:val="2"/>
        </w:numPr>
        <w:tabs>
          <w:tab w:val="clear" w:pos="709"/>
          <w:tab w:val="left" w:pos="709" w:leader="none"/>
        </w:tabs>
        <w:bidi w:val="0"/>
        <w:spacing w:before="0" w:after="0"/>
        <w:ind w:hanging="283" w:start="709" w:end="0"/>
        <w:jc w:val="start"/>
        <w:rPr/>
      </w:pPr>
      <w:r>
        <w:rPr>
          <w:rStyle w:val="Strong"/>
        </w:rPr>
        <w:t>Gender Equity Monitoring:</w:t>
      </w:r>
      <w:r>
        <w:rPr/>
        <w:t> Quantifying systemic gender gaps in private fee-paying education to inform targeted subsidies and Right to Education (RTE) Section 12(1)(c) seat reservations.</w:t>
      </w:r>
    </w:p>
    <w:p>
      <w:pPr>
        <w:pStyle w:val="BodyText"/>
        <w:numPr>
          <w:ilvl w:val="0"/>
          <w:numId w:val="2"/>
        </w:numPr>
        <w:tabs>
          <w:tab w:val="clear" w:pos="709"/>
          <w:tab w:val="left" w:pos="709" w:leader="none"/>
        </w:tabs>
        <w:bidi w:val="0"/>
        <w:ind w:hanging="283" w:start="709" w:end="0"/>
        <w:jc w:val="start"/>
        <w:rPr/>
      </w:pPr>
      <w:r>
        <w:rPr>
          <w:rStyle w:val="Strong"/>
        </w:rPr>
        <w:t>Dropout &amp; Transition Analysis:</w:t>
      </w:r>
      <w:r>
        <w:rPr/>
        <w:t> Identifying educational levels (Secondary and Higher Secondary) where private enrolment contracts rapidly due to high tuition fees or student attrition.</w:t>
      </w:r>
    </w:p>
    <w:p>
      <w:pPr>
        <w:pStyle w:val="Heading3"/>
        <w:bidi w:val="0"/>
        <w:ind w:hanging="0" w:start="0" w:end="0"/>
        <w:jc w:val="start"/>
        <w:rPr/>
      </w:pPr>
      <w:bookmarkStart w:id="4" w:name="user-content-12-dataset-overview-and-var"/>
      <w:bookmarkEnd w:id="4"/>
      <w:r>
        <w:rPr/>
        <w:t>1.2 Dataset Overview and Variable Specifications</w:t>
      </w:r>
    </w:p>
    <w:p>
      <w:pPr>
        <w:pStyle w:val="BodyText"/>
        <w:bidi w:val="0"/>
        <w:ind w:hanging="0" w:start="0" w:end="0"/>
        <w:jc w:val="start"/>
        <w:rPr/>
      </w:pPr>
      <w:r>
        <w:rPr/>
        <w:t>The empirical dataset was extracted from the </w:t>
      </w:r>
      <w:r>
        <w:rPr>
          <w:rStyle w:val="Strong"/>
        </w:rPr>
        <w:t>Unified District Information System for Education Plus (UDISE+)</w:t>
      </w:r>
      <w:r>
        <w:rPr/>
        <w:t> portal hosted on the Open Government Data Portal of India (</w:t>
      </w:r>
      <w:r>
        <w:rPr>
          <w:rStyle w:val="SourceText"/>
        </w:rPr>
        <w:t>data.gov.in</w:t>
      </w:r>
      <w:r>
        <w:rPr/>
        <w:t>). The dataset consists of N=560N=560 validated, non-null administrative records across 35 States and UTs.</w:t>
      </w:r>
    </w:p>
    <w:tbl>
      <w:tblPr>
        <w:tblW w:w="9972" w:type="dxa"/>
        <w:jc w:val="start"/>
        <w:tblInd w:w="0" w:type="dxa"/>
        <w:tblLayout w:type="fixed"/>
        <w:tblCellMar>
          <w:top w:w="28" w:type="dxa"/>
          <w:start w:w="28" w:type="dxa"/>
          <w:bottom w:w="28" w:type="dxa"/>
          <w:end w:w="28" w:type="dxa"/>
        </w:tblCellMar>
      </w:tblPr>
      <w:tblGrid>
        <w:gridCol w:w="3145"/>
        <w:gridCol w:w="1494"/>
        <w:gridCol w:w="1746"/>
        <w:gridCol w:w="3587"/>
      </w:tblGrid>
      <w:tr>
        <w:trPr>
          <w:tblHeader w:val="true"/>
        </w:trPr>
        <w:tc>
          <w:tcPr>
            <w:tcW w:w="3145" w:type="dxa"/>
            <w:tcBorders/>
            <w:vAlign w:val="center"/>
          </w:tcPr>
          <w:p>
            <w:pPr>
              <w:pStyle w:val="TableHeading"/>
              <w:bidi w:val="0"/>
              <w:ind w:hanging="0" w:start="0" w:end="0"/>
              <w:rPr/>
            </w:pPr>
            <w:r>
              <w:rPr/>
              <w:t>Variable Name</w:t>
            </w:r>
          </w:p>
        </w:tc>
        <w:tc>
          <w:tcPr>
            <w:tcW w:w="1494" w:type="dxa"/>
            <w:tcBorders/>
            <w:vAlign w:val="center"/>
          </w:tcPr>
          <w:p>
            <w:pPr>
              <w:pStyle w:val="TableHeading"/>
              <w:bidi w:val="0"/>
              <w:ind w:hanging="0" w:start="0" w:end="0"/>
              <w:rPr/>
            </w:pPr>
            <w:r>
              <w:rPr/>
              <w:t>Variable Type</w:t>
            </w:r>
          </w:p>
        </w:tc>
        <w:tc>
          <w:tcPr>
            <w:tcW w:w="1746" w:type="dxa"/>
            <w:tcBorders/>
            <w:vAlign w:val="center"/>
          </w:tcPr>
          <w:p>
            <w:pPr>
              <w:pStyle w:val="TableHeading"/>
              <w:bidi w:val="0"/>
              <w:ind w:hanging="0" w:start="0" w:end="0"/>
              <w:rPr/>
            </w:pPr>
            <w:r>
              <w:rPr/>
              <w:t>Data Format</w:t>
            </w:r>
          </w:p>
        </w:tc>
        <w:tc>
          <w:tcPr>
            <w:tcW w:w="3587" w:type="dxa"/>
            <w:tcBorders/>
            <w:vAlign w:val="center"/>
          </w:tcPr>
          <w:p>
            <w:pPr>
              <w:pStyle w:val="TableHeading"/>
              <w:bidi w:val="0"/>
              <w:ind w:hanging="0" w:start="0" w:end="0"/>
              <w:rPr/>
            </w:pPr>
            <w:r>
              <w:rPr/>
              <w:t>Theoretical &amp; Analytical Description</w:t>
            </w:r>
          </w:p>
        </w:tc>
      </w:tr>
      <w:tr>
        <w:trPr/>
        <w:tc>
          <w:tcPr>
            <w:tcW w:w="3145" w:type="dxa"/>
            <w:tcBorders/>
            <w:vAlign w:val="center"/>
          </w:tcPr>
          <w:p>
            <w:pPr>
              <w:pStyle w:val="TableContents"/>
              <w:bidi w:val="0"/>
              <w:ind w:hanging="0" w:start="0" w:end="0"/>
              <w:jc w:val="start"/>
              <w:rPr/>
            </w:pPr>
            <w:r>
              <w:rPr>
                <w:rStyle w:val="SourceText"/>
              </w:rPr>
              <w:t>State_UT</w:t>
            </w:r>
          </w:p>
        </w:tc>
        <w:tc>
          <w:tcPr>
            <w:tcW w:w="1494" w:type="dxa"/>
            <w:tcBorders/>
            <w:vAlign w:val="center"/>
          </w:tcPr>
          <w:p>
            <w:pPr>
              <w:pStyle w:val="TableContents"/>
              <w:bidi w:val="0"/>
              <w:ind w:hanging="0" w:start="0" w:end="0"/>
              <w:jc w:val="start"/>
              <w:rPr/>
            </w:pPr>
            <w:r>
              <w:rPr/>
              <w:t>Categorical (Nominal)</w:t>
            </w:r>
          </w:p>
        </w:tc>
        <w:tc>
          <w:tcPr>
            <w:tcW w:w="1746" w:type="dxa"/>
            <w:tcBorders/>
            <w:vAlign w:val="center"/>
          </w:tcPr>
          <w:p>
            <w:pPr>
              <w:pStyle w:val="TableContents"/>
              <w:bidi w:val="0"/>
              <w:ind w:hanging="0" w:start="0" w:end="0"/>
              <w:jc w:val="start"/>
              <w:rPr/>
            </w:pPr>
            <w:r>
              <w:rPr/>
              <w:t>String (35 Unique Categories)</w:t>
            </w:r>
          </w:p>
        </w:tc>
        <w:tc>
          <w:tcPr>
            <w:tcW w:w="3587" w:type="dxa"/>
            <w:tcBorders/>
            <w:vAlign w:val="center"/>
          </w:tcPr>
          <w:p>
            <w:pPr>
              <w:pStyle w:val="TableContents"/>
              <w:bidi w:val="0"/>
              <w:ind w:hanging="0" w:start="0" w:end="0"/>
              <w:jc w:val="start"/>
              <w:rPr/>
            </w:pPr>
            <w:r>
              <w:rPr/>
              <w:t>Geographic administrative unit (States and Union Territories of India).</w:t>
            </w:r>
          </w:p>
        </w:tc>
      </w:tr>
      <w:tr>
        <w:trPr/>
        <w:tc>
          <w:tcPr>
            <w:tcW w:w="3145" w:type="dxa"/>
            <w:tcBorders/>
            <w:vAlign w:val="center"/>
          </w:tcPr>
          <w:p>
            <w:pPr>
              <w:pStyle w:val="TableContents"/>
              <w:bidi w:val="0"/>
              <w:ind w:hanging="0" w:start="0" w:end="0"/>
              <w:jc w:val="start"/>
              <w:rPr/>
            </w:pPr>
            <w:r>
              <w:rPr>
                <w:rStyle w:val="SourceText"/>
              </w:rPr>
              <w:t>Education_Level</w:t>
            </w:r>
          </w:p>
        </w:tc>
        <w:tc>
          <w:tcPr>
            <w:tcW w:w="1494" w:type="dxa"/>
            <w:tcBorders/>
            <w:vAlign w:val="center"/>
          </w:tcPr>
          <w:p>
            <w:pPr>
              <w:pStyle w:val="TableContents"/>
              <w:bidi w:val="0"/>
              <w:ind w:hanging="0" w:start="0" w:end="0"/>
              <w:jc w:val="start"/>
              <w:rPr/>
            </w:pPr>
            <w:r>
              <w:rPr/>
              <w:t>Categorical (Ordinal/Nominal)</w:t>
            </w:r>
          </w:p>
        </w:tc>
        <w:tc>
          <w:tcPr>
            <w:tcW w:w="1746" w:type="dxa"/>
            <w:tcBorders/>
            <w:vAlign w:val="center"/>
          </w:tcPr>
          <w:p>
            <w:pPr>
              <w:pStyle w:val="TableContents"/>
              <w:bidi w:val="0"/>
              <w:ind w:hanging="0" w:start="0" w:end="0"/>
              <w:jc w:val="start"/>
              <w:rPr/>
            </w:pPr>
            <w:r>
              <w:rPr/>
              <w:t>String (8 Unique Levels)</w:t>
            </w:r>
          </w:p>
        </w:tc>
        <w:tc>
          <w:tcPr>
            <w:tcW w:w="3587" w:type="dxa"/>
            <w:tcBorders/>
            <w:vAlign w:val="center"/>
          </w:tcPr>
          <w:p>
            <w:pPr>
              <w:pStyle w:val="TableContents"/>
              <w:bidi w:val="0"/>
              <w:ind w:hanging="0" w:start="0" w:end="0"/>
              <w:jc w:val="start"/>
              <w:rPr/>
            </w:pPr>
            <w:r>
              <w:rPr/>
              <w:t>Educational grade level (Primary 1, Primary 2, Upper Primary 1, Upper Primary 2, Secondary 1, Secondary 2, Higher Secondary 1, Higher Secondary 2).</w:t>
            </w:r>
          </w:p>
        </w:tc>
      </w:tr>
      <w:tr>
        <w:trPr/>
        <w:tc>
          <w:tcPr>
            <w:tcW w:w="3145" w:type="dxa"/>
            <w:tcBorders/>
            <w:vAlign w:val="center"/>
          </w:tcPr>
          <w:p>
            <w:pPr>
              <w:pStyle w:val="TableContents"/>
              <w:bidi w:val="0"/>
              <w:ind w:hanging="0" w:start="0" w:end="0"/>
              <w:jc w:val="start"/>
              <w:rPr/>
            </w:pPr>
            <w:r>
              <w:rPr>
                <w:rStyle w:val="SourceText"/>
              </w:rPr>
              <w:t>Gender</w:t>
            </w:r>
          </w:p>
        </w:tc>
        <w:tc>
          <w:tcPr>
            <w:tcW w:w="1494" w:type="dxa"/>
            <w:tcBorders/>
            <w:vAlign w:val="center"/>
          </w:tcPr>
          <w:p>
            <w:pPr>
              <w:pStyle w:val="TableContents"/>
              <w:bidi w:val="0"/>
              <w:ind w:hanging="0" w:start="0" w:end="0"/>
              <w:jc w:val="start"/>
              <w:rPr/>
            </w:pPr>
            <w:r>
              <w:rPr/>
              <w:t>Categorical (Binary)</w:t>
            </w:r>
          </w:p>
        </w:tc>
        <w:tc>
          <w:tcPr>
            <w:tcW w:w="1746" w:type="dxa"/>
            <w:tcBorders/>
            <w:vAlign w:val="center"/>
          </w:tcPr>
          <w:p>
            <w:pPr>
              <w:pStyle w:val="TableContents"/>
              <w:bidi w:val="0"/>
              <w:ind w:hanging="0" w:start="0" w:end="0"/>
              <w:jc w:val="start"/>
              <w:rPr/>
            </w:pPr>
            <w:r>
              <w:rPr/>
              <w:t>String (</w:t>
            </w:r>
            <w:r>
              <w:rPr>
                <w:rStyle w:val="SourceText"/>
              </w:rPr>
              <w:t>Boys</w:t>
            </w:r>
            <w:r>
              <w:rPr/>
              <w:t>, </w:t>
            </w:r>
            <w:r>
              <w:rPr>
                <w:rStyle w:val="SourceText"/>
              </w:rPr>
              <w:t>Girls</w:t>
            </w:r>
            <w:r>
              <w:rPr/>
              <w:t>)</w:t>
            </w:r>
          </w:p>
        </w:tc>
        <w:tc>
          <w:tcPr>
            <w:tcW w:w="3587" w:type="dxa"/>
            <w:tcBorders/>
            <w:vAlign w:val="center"/>
          </w:tcPr>
          <w:p>
            <w:pPr>
              <w:pStyle w:val="TableContents"/>
              <w:bidi w:val="0"/>
              <w:ind w:hanging="0" w:start="0" w:end="0"/>
              <w:jc w:val="start"/>
              <w:rPr/>
            </w:pPr>
            <w:r>
              <w:rPr/>
              <w:t>Gender disaggregation for student enrolment tracking.</w:t>
            </w:r>
          </w:p>
        </w:tc>
      </w:tr>
      <w:tr>
        <w:trPr/>
        <w:tc>
          <w:tcPr>
            <w:tcW w:w="3145" w:type="dxa"/>
            <w:tcBorders/>
            <w:vAlign w:val="center"/>
          </w:tcPr>
          <w:p>
            <w:pPr>
              <w:pStyle w:val="TableContents"/>
              <w:bidi w:val="0"/>
              <w:ind w:hanging="0" w:start="0" w:end="0"/>
              <w:jc w:val="start"/>
              <w:rPr/>
            </w:pPr>
            <w:r>
              <w:rPr>
                <w:rStyle w:val="SourceText"/>
              </w:rPr>
              <w:t>Enrolment</w:t>
            </w:r>
          </w:p>
        </w:tc>
        <w:tc>
          <w:tcPr>
            <w:tcW w:w="1494" w:type="dxa"/>
            <w:tcBorders/>
            <w:vAlign w:val="center"/>
          </w:tcPr>
          <w:p>
            <w:pPr>
              <w:pStyle w:val="TableContents"/>
              <w:bidi w:val="0"/>
              <w:ind w:hanging="0" w:start="0" w:end="0"/>
              <w:jc w:val="start"/>
              <w:rPr/>
            </w:pPr>
            <w:r>
              <w:rPr/>
              <w:t>Continuous (Ratio)</w:t>
            </w:r>
          </w:p>
        </w:tc>
        <w:tc>
          <w:tcPr>
            <w:tcW w:w="1746" w:type="dxa"/>
            <w:tcBorders/>
            <w:vAlign w:val="center"/>
          </w:tcPr>
          <w:p>
            <w:pPr>
              <w:pStyle w:val="TableContents"/>
              <w:bidi w:val="0"/>
              <w:ind w:hanging="0" w:start="0" w:end="0"/>
              <w:jc w:val="start"/>
              <w:rPr/>
            </w:pPr>
            <w:r>
              <w:rPr/>
              <w:t>Non-negative Integer</w:t>
            </w:r>
          </w:p>
        </w:tc>
        <w:tc>
          <w:tcPr>
            <w:tcW w:w="3587" w:type="dxa"/>
            <w:tcBorders/>
            <w:vAlign w:val="center"/>
          </w:tcPr>
          <w:p>
            <w:pPr>
              <w:pStyle w:val="TableContents"/>
              <w:bidi w:val="0"/>
              <w:ind w:hanging="0" w:start="0" w:end="0"/>
              <w:jc w:val="start"/>
              <w:rPr/>
            </w:pPr>
            <w:r>
              <w:rPr/>
              <w:t>Total raw count of enrolled students in private unaided recognized schools.</w:t>
            </w:r>
          </w:p>
        </w:tc>
      </w:tr>
      <w:tr>
        <w:trPr/>
        <w:tc>
          <w:tcPr>
            <w:tcW w:w="3145" w:type="dxa"/>
            <w:tcBorders/>
            <w:vAlign w:val="center"/>
          </w:tcPr>
          <w:p>
            <w:pPr>
              <w:pStyle w:val="TableContents"/>
              <w:bidi w:val="0"/>
              <w:ind w:hanging="0" w:start="0" w:end="0"/>
              <w:jc w:val="start"/>
              <w:rPr/>
            </w:pPr>
            <w:r>
              <w:rPr>
                <w:rStyle w:val="SourceText"/>
              </w:rPr>
              <w:t>State_Total_Enrolment</w:t>
            </w:r>
          </w:p>
        </w:tc>
        <w:tc>
          <w:tcPr>
            <w:tcW w:w="1494" w:type="dxa"/>
            <w:tcBorders/>
            <w:vAlign w:val="center"/>
          </w:tcPr>
          <w:p>
            <w:pPr>
              <w:pStyle w:val="TableContents"/>
              <w:bidi w:val="0"/>
              <w:ind w:hanging="0" w:start="0" w:end="0"/>
              <w:jc w:val="start"/>
              <w:rPr/>
            </w:pPr>
            <w:r>
              <w:rPr/>
              <w:t>Continuous (Ratio)</w:t>
            </w:r>
          </w:p>
        </w:tc>
        <w:tc>
          <w:tcPr>
            <w:tcW w:w="1746" w:type="dxa"/>
            <w:tcBorders/>
            <w:vAlign w:val="center"/>
          </w:tcPr>
          <w:p>
            <w:pPr>
              <w:pStyle w:val="TableContents"/>
              <w:bidi w:val="0"/>
              <w:ind w:hanging="0" w:start="0" w:end="0"/>
              <w:jc w:val="start"/>
              <w:rPr/>
            </w:pPr>
            <w:r>
              <w:rPr/>
              <w:t>Non-negative Integer</w:t>
            </w:r>
          </w:p>
        </w:tc>
        <w:tc>
          <w:tcPr>
            <w:tcW w:w="3587" w:type="dxa"/>
            <w:tcBorders/>
            <w:vAlign w:val="center"/>
          </w:tcPr>
          <w:p>
            <w:pPr>
              <w:pStyle w:val="TableContents"/>
              <w:bidi w:val="0"/>
              <w:ind w:hanging="0" w:start="0" w:end="0"/>
              <w:jc w:val="start"/>
              <w:rPr/>
            </w:pPr>
            <w:r>
              <w:rPr/>
              <w:t>Aggregate overall school enrolment across all management types within the State/UT.</w:t>
            </w:r>
          </w:p>
        </w:tc>
      </w:tr>
      <w:tr>
        <w:trPr/>
        <w:tc>
          <w:tcPr>
            <w:tcW w:w="3145" w:type="dxa"/>
            <w:tcBorders/>
            <w:vAlign w:val="center"/>
          </w:tcPr>
          <w:p>
            <w:pPr>
              <w:pStyle w:val="TableContents"/>
              <w:bidi w:val="0"/>
              <w:ind w:hanging="0" w:start="0" w:end="0"/>
              <w:jc w:val="start"/>
              <w:rPr/>
            </w:pPr>
            <w:r>
              <w:rPr>
                <w:rStyle w:val="SourceText"/>
              </w:rPr>
              <w:t>ln_Enrolment</w:t>
            </w:r>
          </w:p>
        </w:tc>
        <w:tc>
          <w:tcPr>
            <w:tcW w:w="1494" w:type="dxa"/>
            <w:tcBorders/>
            <w:vAlign w:val="center"/>
          </w:tcPr>
          <w:p>
            <w:pPr>
              <w:pStyle w:val="TableContents"/>
              <w:bidi w:val="0"/>
              <w:ind w:hanging="0" w:start="0" w:end="0"/>
              <w:jc w:val="start"/>
              <w:rPr/>
            </w:pPr>
            <w:r>
              <w:rPr/>
              <w:t>Continuous (Ratio)</w:t>
            </w:r>
          </w:p>
        </w:tc>
        <w:tc>
          <w:tcPr>
            <w:tcW w:w="1746" w:type="dxa"/>
            <w:tcBorders/>
            <w:vAlign w:val="center"/>
          </w:tcPr>
          <w:p>
            <w:pPr>
              <w:pStyle w:val="TableContents"/>
              <w:bidi w:val="0"/>
              <w:ind w:hanging="0" w:start="0" w:end="0"/>
              <w:jc w:val="start"/>
              <w:rPr/>
            </w:pPr>
            <w:r>
              <w:rPr/>
              <w:t>Floating-point Real</w:t>
            </w:r>
          </w:p>
        </w:tc>
        <w:tc>
          <w:tcPr>
            <w:tcW w:w="3587" w:type="dxa"/>
            <w:tcBorders/>
            <w:vAlign w:val="center"/>
          </w:tcPr>
          <w:p>
            <w:pPr>
              <w:pStyle w:val="TableContents"/>
              <w:bidi w:val="0"/>
              <w:ind w:hanging="0" w:start="0" w:end="0"/>
              <w:jc w:val="start"/>
              <w:rPr/>
            </w:pPr>
            <w:r>
              <w:rPr/>
              <w:t>Natural logarithm transformation of raw enrolment, ln⁡(Enrolment)ln(Enrolment), used for parametric Gaussian modeling.</w:t>
            </w:r>
          </w:p>
        </w:tc>
      </w:tr>
    </w:tbl>
    <w:p>
      <w:pPr>
        <w:pStyle w:val="Heading3"/>
        <w:bidi w:val="0"/>
        <w:ind w:hanging="0" w:start="0" w:end="0"/>
        <w:jc w:val="start"/>
        <w:rPr/>
      </w:pPr>
      <w:bookmarkStart w:id="5" w:name="user-content-13-problem-statement--core-"/>
      <w:bookmarkEnd w:id="5"/>
      <w:r>
        <w:rPr/>
        <w:t>1.3 Problem Statement &amp; Core Research Objectives</w:t>
      </w:r>
    </w:p>
    <w:p>
      <w:pPr>
        <w:pStyle w:val="BodyText"/>
        <w:bidi w:val="0"/>
        <w:ind w:hanging="0" w:start="0" w:end="0"/>
        <w:jc w:val="start"/>
        <w:rPr/>
      </w:pPr>
      <w:r>
        <w:rPr/>
        <w:t>Policy makers frequently rely on simple state-level average enrolment figures to allocate educational funds and plan school physical infrastructure. However, when raw enrolment distributions exhibit extreme right-skewness and heavy tails, sample means severely overestimate typical institutional scale, resulting in systemic misallocation of capital resources, under-funded rural schools, and over-estimated private sector absorption capacity.</w:t>
      </w:r>
    </w:p>
    <w:p>
      <w:pPr>
        <w:pStyle w:val="BodyText"/>
        <w:bidi w:val="0"/>
        <w:ind w:hanging="0" w:start="0" w:end="0"/>
        <w:jc w:val="start"/>
        <w:rPr/>
      </w:pPr>
      <w:r>
        <w:rPr/>
        <w:t>This research project addresses three core analytical objectives:</w:t>
      </w:r>
    </w:p>
    <w:p>
      <w:pPr>
        <w:pStyle w:val="BodyText"/>
        <w:numPr>
          <w:ilvl w:val="0"/>
          <w:numId w:val="3"/>
        </w:numPr>
        <w:tabs>
          <w:tab w:val="clear" w:pos="709"/>
          <w:tab w:val="left" w:pos="709" w:leader="none"/>
        </w:tabs>
        <w:bidi w:val="0"/>
        <w:spacing w:before="0" w:after="0"/>
        <w:ind w:hanging="283" w:start="709" w:end="0"/>
        <w:jc w:val="start"/>
        <w:rPr/>
      </w:pPr>
      <w:r>
        <w:rPr>
          <w:rStyle w:val="Strong"/>
        </w:rPr>
        <w:t>Distributional Characterization:</w:t>
      </w:r>
      <w:r>
        <w:rPr/>
        <w:t> Evaluate the spatial and statistical dispersion of raw vs. log-transformed private school enrolment to prove why non-parametric metrics (Median and IQR) must supersede standard parametric metrics (Mean and Standard Deviation).</w:t>
      </w:r>
    </w:p>
    <w:p>
      <w:pPr>
        <w:pStyle w:val="BodyText"/>
        <w:numPr>
          <w:ilvl w:val="0"/>
          <w:numId w:val="3"/>
        </w:numPr>
        <w:tabs>
          <w:tab w:val="clear" w:pos="709"/>
          <w:tab w:val="left" w:pos="709" w:leader="none"/>
        </w:tabs>
        <w:bidi w:val="0"/>
        <w:spacing w:before="0" w:after="0"/>
        <w:ind w:hanging="283" w:start="709" w:end="0"/>
        <w:jc w:val="start"/>
        <w:rPr/>
      </w:pPr>
      <w:r>
        <w:rPr>
          <w:rStyle w:val="Strong"/>
        </w:rPr>
        <w:t>Parametric Risk Modeling:</w:t>
      </w:r>
      <w:r>
        <w:rPr/>
        <w:t> Fit a formal Log-Normal probability distribution to quantify the exact probability of under-enrolment risk (P(X≤21,822)P(X≤21,822)) for institutional sustainability and facility viability.</w:t>
      </w:r>
    </w:p>
    <w:p>
      <w:pPr>
        <w:pStyle w:val="BodyText"/>
        <w:numPr>
          <w:ilvl w:val="0"/>
          <w:numId w:val="3"/>
        </w:numPr>
        <w:tabs>
          <w:tab w:val="clear" w:pos="709"/>
          <w:tab w:val="left" w:pos="709" w:leader="none"/>
        </w:tabs>
        <w:bidi w:val="0"/>
        <w:ind w:hanging="283" w:start="709" w:end="0"/>
        <w:jc w:val="start"/>
        <w:rPr/>
      </w:pPr>
      <w:r>
        <w:rPr>
          <w:rStyle w:val="Strong"/>
        </w:rPr>
        <w:t>Econometric Specification &amp; Modeling:</w:t>
      </w:r>
      <w:r>
        <w:rPr/>
        <w:t> Construct a robust Multiple Linear Regression model to isolate the structural elasticities of total state educational scale, gender bias, and grade-level attrition on private school enrolment.</w:t>
      </w:r>
    </w:p>
    <w:p>
      <w:pPr>
        <w:pStyle w:val="HorizontalLine"/>
        <w:bidi w:val="0"/>
        <w:jc w:val="start"/>
        <w:rPr/>
      </w:pPr>
      <w:r>
        <w:rPr/>
      </w:r>
    </w:p>
    <w:p>
      <w:pPr>
        <w:pStyle w:val="Heading2"/>
        <w:bidi w:val="0"/>
        <w:ind w:hanging="0" w:start="0" w:end="0"/>
        <w:jc w:val="start"/>
        <w:rPr/>
      </w:pPr>
      <w:bookmarkStart w:id="6" w:name="user-content-section-2-descriptive-stati"/>
      <w:bookmarkEnd w:id="6"/>
      <w:r>
        <w:rPr/>
        <w:t>SECTION 2: DESCRIPTIVE STATISTICS &amp; DATA VISUALIZATION</w:t>
      </w:r>
    </w:p>
    <w:p>
      <w:pPr>
        <w:pStyle w:val="Heading3"/>
        <w:bidi w:val="0"/>
        <w:ind w:hanging="0" w:start="0" w:end="0"/>
        <w:jc w:val="start"/>
        <w:rPr/>
      </w:pPr>
      <w:bookmarkStart w:id="7" w:name="user-content-21-comparative-analysis-of-"/>
      <w:bookmarkEnd w:id="7"/>
      <w:r>
        <w:rPr/>
        <w:t>2.1 Comparative Analysis of Raw vs. Log-Transformed Enrolment</w:t>
      </w:r>
    </w:p>
    <w:p>
      <w:pPr>
        <w:pStyle w:val="BodyText"/>
        <w:bidi w:val="0"/>
        <w:ind w:hanging="0" w:start="0" w:end="0"/>
        <w:jc w:val="start"/>
        <w:rPr/>
      </w:pPr>
      <w:r>
        <w:rPr/>
        <w:t>To establish the distributional attributes of the dataset, descriptive statistics were calculated for both raw enrolment counts (N=560N=560) and log-transformed enrolment values (ln⁡(Enrolment)ln(Enrolment), N=544N=544, excluding 16 zero-enrolment edge cells in minor UTs).</w:t>
      </w:r>
    </w:p>
    <w:p>
      <w:pPr>
        <w:pStyle w:val="PreformattedText"/>
        <w:bidi w:val="0"/>
        <w:ind w:hanging="0" w:start="0" w:end="0"/>
        <w:jc w:val="start"/>
        <w:rPr/>
      </w:pPr>
      <w:r>
        <w:rPr/>
        <w:t>+-----------------------------------------------------------------------------------+</w:t>
      </w:r>
    </w:p>
    <w:p>
      <w:pPr>
        <w:pStyle w:val="PreformattedText"/>
        <w:bidi w:val="0"/>
        <w:ind w:hanging="0" w:start="0" w:end="0"/>
        <w:jc w:val="start"/>
        <w:rPr/>
      </w:pPr>
      <w:r>
        <w:rPr/>
        <w:t>|                        PLACEHOLDER FOR MULTI-PANEL FIGURE                         |</w:t>
      </w:r>
    </w:p>
    <w:p>
      <w:pPr>
        <w:pStyle w:val="PreformattedText"/>
        <w:bidi w:val="0"/>
        <w:ind w:hanging="0" w:start="0" w:end="0"/>
        <w:jc w:val="start"/>
        <w:rPr/>
      </w:pPr>
      <w:r>
        <w:rPr/>
        <w:t>|                                                                                   |</w:t>
      </w:r>
    </w:p>
    <w:p>
      <w:pPr>
        <w:pStyle w:val="PreformattedText"/>
        <w:bidi w:val="0"/>
        <w:ind w:hanging="0" w:start="0" w:end="0"/>
        <w:jc w:val="start"/>
        <w:rPr/>
      </w:pPr>
      <w:r>
        <w:rPr/>
        <w:t>|                   [ Figure File Reference: report_figures_final.png ]             |</w:t>
      </w:r>
    </w:p>
    <w:p>
      <w:pPr>
        <w:pStyle w:val="PreformattedText"/>
        <w:bidi w:val="0"/>
        <w:ind w:hanging="0" w:start="0" w:end="0"/>
        <w:jc w:val="start"/>
        <w:rPr/>
      </w:pPr>
      <w:r>
        <w:rPr/>
        <w:t>|                                                                                   |</w:t>
      </w:r>
    </w:p>
    <w:p>
      <w:pPr>
        <w:pStyle w:val="PreformattedText"/>
        <w:bidi w:val="0"/>
        <w:ind w:hanging="0" w:start="0" w:end="0"/>
        <w:jc w:val="start"/>
        <w:rPr/>
      </w:pPr>
      <w:r>
        <w:rPr/>
        <w:t>|  Panel 1A: Raw Enrolment Histogram (Extreme Right-Skewness, Skew = +5.250)         |</w:t>
      </w:r>
    </w:p>
    <w:p>
      <w:pPr>
        <w:pStyle w:val="PreformattedText"/>
        <w:bidi w:val="0"/>
        <w:ind w:hanging="0" w:start="0" w:end="0"/>
        <w:jc w:val="start"/>
        <w:rPr/>
      </w:pPr>
      <w:r>
        <w:rPr/>
        <w:t>|  Panel 1B: Log-Transformed Histogram with Fitted Gaussian Density (mu=11.61)      |</w:t>
      </w:r>
    </w:p>
    <w:p>
      <w:pPr>
        <w:pStyle w:val="PreformattedText"/>
        <w:bidi w:val="0"/>
        <w:ind w:hanging="0" w:start="0" w:end="0"/>
        <w:jc w:val="start"/>
        <w:rPr/>
      </w:pPr>
      <w:r>
        <w:rPr/>
        <w:t>|  Panel 1C: Boxplot of Log-Enrolment across Educational Levels by Gender           |</w:t>
      </w:r>
    </w:p>
    <w:p>
      <w:pPr>
        <w:pStyle w:val="PreformattedText"/>
        <w:bidi w:val="0"/>
        <w:ind w:hanging="0" w:start="0" w:end="0"/>
        <w:jc w:val="start"/>
        <w:rPr/>
      </w:pPr>
      <w:r>
        <w:rPr/>
        <w:t>|  Panel 1D: OLS Regression Residuals vs. Fitted Values (Homoscedasticity Check)    |</w:t>
      </w:r>
    </w:p>
    <w:p>
      <w:pPr>
        <w:pStyle w:val="PreformattedText"/>
        <w:bidi w:val="0"/>
        <w:spacing w:before="0" w:after="283"/>
        <w:ind w:hanging="0" w:start="0" w:end="0"/>
        <w:jc w:val="start"/>
        <w:rPr/>
      </w:pPr>
      <w:r>
        <w:rPr/>
        <w:t>+-----------------------------------------------------------------------------------+</w:t>
      </w:r>
    </w:p>
    <w:p>
      <w:pPr>
        <w:pStyle w:val="Heading4"/>
        <w:bidi w:val="0"/>
        <w:ind w:hanging="0" w:start="0" w:end="0"/>
        <w:jc w:val="start"/>
        <w:rPr/>
      </w:pPr>
      <w:bookmarkStart w:id="8" w:name="user-content-table-1-comprehensive-empir"/>
      <w:bookmarkEnd w:id="8"/>
      <w:r>
        <w:rPr/>
        <w:t>Table 1: Comprehensive Empirical Descriptive Statistics</w:t>
      </w:r>
    </w:p>
    <w:tbl>
      <w:tblPr>
        <w:tblW w:w="9972" w:type="dxa"/>
        <w:jc w:val="start"/>
        <w:tblInd w:w="0" w:type="dxa"/>
        <w:tblLayout w:type="fixed"/>
        <w:tblCellMar>
          <w:top w:w="28" w:type="dxa"/>
          <w:start w:w="28" w:type="dxa"/>
          <w:bottom w:w="28" w:type="dxa"/>
          <w:end w:w="28" w:type="dxa"/>
        </w:tblCellMar>
      </w:tblPr>
      <w:tblGrid>
        <w:gridCol w:w="2004"/>
        <w:gridCol w:w="1859"/>
        <w:gridCol w:w="2667"/>
        <w:gridCol w:w="3442"/>
      </w:tblGrid>
      <w:tr>
        <w:trPr>
          <w:tblHeader w:val="true"/>
        </w:trPr>
        <w:tc>
          <w:tcPr>
            <w:tcW w:w="2004" w:type="dxa"/>
            <w:tcBorders/>
            <w:vAlign w:val="center"/>
          </w:tcPr>
          <w:p>
            <w:pPr>
              <w:pStyle w:val="TableHeading"/>
              <w:bidi w:val="0"/>
              <w:ind w:hanging="0" w:start="0" w:end="0"/>
              <w:rPr/>
            </w:pPr>
            <w:r>
              <w:rPr/>
              <w:t>Statistical Parameter</w:t>
            </w:r>
          </w:p>
        </w:tc>
        <w:tc>
          <w:tcPr>
            <w:tcW w:w="1859" w:type="dxa"/>
            <w:tcBorders/>
            <w:vAlign w:val="center"/>
          </w:tcPr>
          <w:p>
            <w:pPr>
              <w:pStyle w:val="TableHeading"/>
              <w:bidi w:val="0"/>
              <w:ind w:hanging="0" w:start="0" w:end="0"/>
              <w:rPr/>
            </w:pPr>
            <w:r>
              <w:rPr/>
              <w:t>Raw Enrolment Count (XX)</w:t>
            </w:r>
          </w:p>
        </w:tc>
        <w:tc>
          <w:tcPr>
            <w:tcW w:w="2667" w:type="dxa"/>
            <w:tcBorders/>
            <w:vAlign w:val="center"/>
          </w:tcPr>
          <w:p>
            <w:pPr>
              <w:pStyle w:val="TableHeading"/>
              <w:bidi w:val="0"/>
              <w:ind w:hanging="0" w:start="0" w:end="0"/>
              <w:rPr/>
            </w:pPr>
            <w:r>
              <w:rPr/>
              <w:t>Log-Transformed Enrolment (ln⁡(X)ln(X))</w:t>
            </w:r>
          </w:p>
        </w:tc>
        <w:tc>
          <w:tcPr>
            <w:tcW w:w="3442" w:type="dxa"/>
            <w:tcBorders/>
            <w:vAlign w:val="center"/>
          </w:tcPr>
          <w:p>
            <w:pPr>
              <w:pStyle w:val="TableHeading"/>
              <w:bidi w:val="0"/>
              <w:ind w:hanging="0" w:start="0" w:end="0"/>
              <w:rPr/>
            </w:pPr>
            <w:r>
              <w:rPr/>
              <w:t>Analytical Impact &amp; Interpretation</w:t>
            </w:r>
          </w:p>
        </w:tc>
      </w:tr>
      <w:tr>
        <w:trPr/>
        <w:tc>
          <w:tcPr>
            <w:tcW w:w="2004" w:type="dxa"/>
            <w:tcBorders/>
            <w:vAlign w:val="center"/>
          </w:tcPr>
          <w:p>
            <w:pPr>
              <w:pStyle w:val="TableContents"/>
              <w:bidi w:val="0"/>
              <w:ind w:hanging="0" w:start="0" w:end="0"/>
              <w:jc w:val="start"/>
              <w:rPr/>
            </w:pPr>
            <w:r>
              <w:rPr>
                <w:rStyle w:val="Strong"/>
              </w:rPr>
              <w:t>Sample Count (NN)</w:t>
            </w:r>
          </w:p>
        </w:tc>
        <w:tc>
          <w:tcPr>
            <w:tcW w:w="1859" w:type="dxa"/>
            <w:tcBorders/>
            <w:vAlign w:val="center"/>
          </w:tcPr>
          <w:p>
            <w:pPr>
              <w:pStyle w:val="TableContents"/>
              <w:bidi w:val="0"/>
              <w:ind w:hanging="0" w:start="0" w:end="0"/>
              <w:jc w:val="start"/>
              <w:rPr/>
            </w:pPr>
            <w:r>
              <w:rPr/>
              <w:t>560</w:t>
            </w:r>
          </w:p>
        </w:tc>
        <w:tc>
          <w:tcPr>
            <w:tcW w:w="2667" w:type="dxa"/>
            <w:tcBorders/>
            <w:vAlign w:val="center"/>
          </w:tcPr>
          <w:p>
            <w:pPr>
              <w:pStyle w:val="TableContents"/>
              <w:bidi w:val="0"/>
              <w:ind w:hanging="0" w:start="0" w:end="0"/>
              <w:jc w:val="start"/>
              <w:rPr/>
            </w:pPr>
            <w:r>
              <w:rPr/>
              <w:t>544</w:t>
            </w:r>
          </w:p>
        </w:tc>
        <w:tc>
          <w:tcPr>
            <w:tcW w:w="3442" w:type="dxa"/>
            <w:tcBorders/>
            <w:vAlign w:val="center"/>
          </w:tcPr>
          <w:p>
            <w:pPr>
              <w:pStyle w:val="TableContents"/>
              <w:bidi w:val="0"/>
              <w:ind w:hanging="0" w:start="0" w:end="0"/>
              <w:jc w:val="start"/>
              <w:rPr/>
            </w:pPr>
            <w:r>
              <w:rPr/>
              <w:t>16 zero-values removed for log-transformation.</w:t>
            </w:r>
          </w:p>
        </w:tc>
      </w:tr>
      <w:tr>
        <w:trPr/>
        <w:tc>
          <w:tcPr>
            <w:tcW w:w="2004" w:type="dxa"/>
            <w:tcBorders/>
            <w:vAlign w:val="center"/>
          </w:tcPr>
          <w:p>
            <w:pPr>
              <w:pStyle w:val="TableContents"/>
              <w:bidi w:val="0"/>
              <w:ind w:hanging="0" w:start="0" w:end="0"/>
              <w:jc w:val="start"/>
              <w:rPr/>
            </w:pPr>
            <w:r>
              <w:rPr>
                <w:rStyle w:val="Strong"/>
              </w:rPr>
              <w:t>Arithmetic Mean (μμ)</w:t>
            </w:r>
          </w:p>
        </w:tc>
        <w:tc>
          <w:tcPr>
            <w:tcW w:w="1859" w:type="dxa"/>
            <w:tcBorders/>
            <w:vAlign w:val="center"/>
          </w:tcPr>
          <w:p>
            <w:pPr>
              <w:pStyle w:val="TableContents"/>
              <w:bidi w:val="0"/>
              <w:ind w:hanging="0" w:start="0" w:end="0"/>
              <w:jc w:val="start"/>
              <w:rPr/>
            </w:pPr>
            <w:r>
              <w:rPr>
                <w:rStyle w:val="Strong"/>
              </w:rPr>
              <w:t>555,685.35</w:t>
            </w:r>
          </w:p>
        </w:tc>
        <w:tc>
          <w:tcPr>
            <w:tcW w:w="2667" w:type="dxa"/>
            <w:tcBorders/>
            <w:vAlign w:val="center"/>
          </w:tcPr>
          <w:p>
            <w:pPr>
              <w:pStyle w:val="TableContents"/>
              <w:bidi w:val="0"/>
              <w:ind w:hanging="0" w:start="0" w:end="0"/>
              <w:jc w:val="start"/>
              <w:rPr/>
            </w:pPr>
            <w:r>
              <w:rPr>
                <w:rStyle w:val="Strong"/>
              </w:rPr>
              <w:t>11.6112</w:t>
            </w:r>
          </w:p>
        </w:tc>
        <w:tc>
          <w:tcPr>
            <w:tcW w:w="3442" w:type="dxa"/>
            <w:tcBorders/>
            <w:vAlign w:val="center"/>
          </w:tcPr>
          <w:p>
            <w:pPr>
              <w:pStyle w:val="TableContents"/>
              <w:bidi w:val="0"/>
              <w:ind w:hanging="0" w:start="0" w:end="0"/>
              <w:jc w:val="start"/>
              <w:rPr/>
            </w:pPr>
            <w:r>
              <w:rPr/>
              <w:t>Raw mean inflated by mega-states (UP, MH).</w:t>
            </w:r>
          </w:p>
        </w:tc>
      </w:tr>
      <w:tr>
        <w:trPr/>
        <w:tc>
          <w:tcPr>
            <w:tcW w:w="2004" w:type="dxa"/>
            <w:tcBorders/>
            <w:vAlign w:val="center"/>
          </w:tcPr>
          <w:p>
            <w:pPr>
              <w:pStyle w:val="TableContents"/>
              <w:bidi w:val="0"/>
              <w:ind w:hanging="0" w:start="0" w:end="0"/>
              <w:jc w:val="start"/>
              <w:rPr/>
            </w:pPr>
            <w:r>
              <w:rPr>
                <w:rStyle w:val="Strong"/>
              </w:rPr>
              <w:t>Median (Q2Q2​)</w:t>
            </w:r>
          </w:p>
        </w:tc>
        <w:tc>
          <w:tcPr>
            <w:tcW w:w="1859" w:type="dxa"/>
            <w:tcBorders/>
            <w:vAlign w:val="center"/>
          </w:tcPr>
          <w:p>
            <w:pPr>
              <w:pStyle w:val="TableContents"/>
              <w:bidi w:val="0"/>
              <w:ind w:hanging="0" w:start="0" w:end="0"/>
              <w:jc w:val="start"/>
              <w:rPr/>
            </w:pPr>
            <w:r>
              <w:rPr>
                <w:rStyle w:val="Strong"/>
              </w:rPr>
              <w:t>127,931.50</w:t>
            </w:r>
          </w:p>
        </w:tc>
        <w:tc>
          <w:tcPr>
            <w:tcW w:w="2667" w:type="dxa"/>
            <w:tcBorders/>
            <w:vAlign w:val="center"/>
          </w:tcPr>
          <w:p>
            <w:pPr>
              <w:pStyle w:val="TableContents"/>
              <w:bidi w:val="0"/>
              <w:ind w:hanging="0" w:start="0" w:end="0"/>
              <w:jc w:val="start"/>
              <w:rPr/>
            </w:pPr>
            <w:r>
              <w:rPr>
                <w:rStyle w:val="Strong"/>
              </w:rPr>
              <w:t>11.7593</w:t>
            </w:r>
          </w:p>
        </w:tc>
        <w:tc>
          <w:tcPr>
            <w:tcW w:w="3442" w:type="dxa"/>
            <w:tcBorders/>
            <w:vAlign w:val="center"/>
          </w:tcPr>
          <w:p>
            <w:pPr>
              <w:pStyle w:val="TableContents"/>
              <w:bidi w:val="0"/>
              <w:ind w:hanging="0" w:start="0" w:end="0"/>
              <w:jc w:val="start"/>
              <w:rPr/>
            </w:pPr>
            <w:r>
              <w:rPr/>
              <w:t>True central tendency of typical State-Gender-Level cell.</w:t>
            </w:r>
          </w:p>
        </w:tc>
      </w:tr>
      <w:tr>
        <w:trPr/>
        <w:tc>
          <w:tcPr>
            <w:tcW w:w="2004" w:type="dxa"/>
            <w:tcBorders/>
            <w:vAlign w:val="center"/>
          </w:tcPr>
          <w:p>
            <w:pPr>
              <w:pStyle w:val="TableContents"/>
              <w:bidi w:val="0"/>
              <w:ind w:hanging="0" w:start="0" w:end="0"/>
              <w:jc w:val="start"/>
              <w:rPr/>
            </w:pPr>
            <w:r>
              <w:rPr>
                <w:rStyle w:val="Strong"/>
              </w:rPr>
              <w:t>Standard Deviation (σσ)</w:t>
            </w:r>
          </w:p>
        </w:tc>
        <w:tc>
          <w:tcPr>
            <w:tcW w:w="1859" w:type="dxa"/>
            <w:tcBorders/>
            <w:vAlign w:val="center"/>
          </w:tcPr>
          <w:p>
            <w:pPr>
              <w:pStyle w:val="TableContents"/>
              <w:bidi w:val="0"/>
              <w:ind w:hanging="0" w:start="0" w:end="0"/>
              <w:jc w:val="start"/>
              <w:rPr/>
            </w:pPr>
            <w:r>
              <w:rPr>
                <w:rStyle w:val="Strong"/>
              </w:rPr>
              <w:t>1,200,213.73</w:t>
            </w:r>
          </w:p>
        </w:tc>
        <w:tc>
          <w:tcPr>
            <w:tcW w:w="2667" w:type="dxa"/>
            <w:tcBorders/>
            <w:vAlign w:val="center"/>
          </w:tcPr>
          <w:p>
            <w:pPr>
              <w:pStyle w:val="TableContents"/>
              <w:bidi w:val="0"/>
              <w:ind w:hanging="0" w:start="0" w:end="0"/>
              <w:jc w:val="start"/>
              <w:rPr/>
            </w:pPr>
            <w:r>
              <w:rPr>
                <w:rStyle w:val="Strong"/>
              </w:rPr>
              <w:t>2.1377</w:t>
            </w:r>
          </w:p>
        </w:tc>
        <w:tc>
          <w:tcPr>
            <w:tcW w:w="3442" w:type="dxa"/>
            <w:tcBorders/>
            <w:vAlign w:val="center"/>
          </w:tcPr>
          <w:p>
            <w:pPr>
              <w:pStyle w:val="TableContents"/>
              <w:bidi w:val="0"/>
              <w:ind w:hanging="0" w:start="0" w:end="0"/>
              <w:jc w:val="start"/>
              <w:rPr/>
            </w:pPr>
            <w:r>
              <w:rPr/>
              <w:t>Raw standard deviation exceeds mean by 216%216%.</w:t>
            </w:r>
          </w:p>
        </w:tc>
      </w:tr>
      <w:tr>
        <w:trPr/>
        <w:tc>
          <w:tcPr>
            <w:tcW w:w="2004" w:type="dxa"/>
            <w:tcBorders/>
            <w:vAlign w:val="center"/>
          </w:tcPr>
          <w:p>
            <w:pPr>
              <w:pStyle w:val="TableContents"/>
              <w:bidi w:val="0"/>
              <w:ind w:hanging="0" w:start="0" w:end="0"/>
              <w:jc w:val="start"/>
              <w:rPr/>
            </w:pPr>
            <w:r>
              <w:rPr>
                <w:rStyle w:val="Strong"/>
              </w:rPr>
              <w:t>Interquartile Range (IQRIQR)</w:t>
            </w:r>
          </w:p>
        </w:tc>
        <w:tc>
          <w:tcPr>
            <w:tcW w:w="1859" w:type="dxa"/>
            <w:tcBorders/>
            <w:vAlign w:val="center"/>
          </w:tcPr>
          <w:p>
            <w:pPr>
              <w:pStyle w:val="TableContents"/>
              <w:bidi w:val="0"/>
              <w:ind w:hanging="0" w:start="0" w:end="0"/>
              <w:jc w:val="start"/>
              <w:rPr/>
            </w:pPr>
            <w:r>
              <w:rPr>
                <w:rStyle w:val="Strong"/>
              </w:rPr>
              <w:t>540,276.50</w:t>
            </w:r>
          </w:p>
        </w:tc>
        <w:tc>
          <w:tcPr>
            <w:tcW w:w="2667" w:type="dxa"/>
            <w:tcBorders/>
            <w:vAlign w:val="center"/>
          </w:tcPr>
          <w:p>
            <w:pPr>
              <w:pStyle w:val="TableContents"/>
              <w:bidi w:val="0"/>
              <w:ind w:hanging="0" w:start="0" w:end="0"/>
              <w:jc w:val="start"/>
              <w:rPr/>
            </w:pPr>
            <w:r>
              <w:rPr>
                <w:rStyle w:val="Strong"/>
              </w:rPr>
              <w:t>2.8442</w:t>
            </w:r>
          </w:p>
        </w:tc>
        <w:tc>
          <w:tcPr>
            <w:tcW w:w="3442" w:type="dxa"/>
            <w:tcBorders/>
            <w:vAlign w:val="center"/>
          </w:tcPr>
          <w:p>
            <w:pPr>
              <w:pStyle w:val="TableContents"/>
              <w:bidi w:val="0"/>
              <w:ind w:hanging="0" w:start="0" w:end="0"/>
              <w:jc w:val="start"/>
              <w:rPr/>
            </w:pPr>
            <w:r>
              <w:rPr/>
              <w:t>Robust measure of middle 50%50% spread.</w:t>
            </w:r>
          </w:p>
        </w:tc>
      </w:tr>
      <w:tr>
        <w:trPr/>
        <w:tc>
          <w:tcPr>
            <w:tcW w:w="2004" w:type="dxa"/>
            <w:tcBorders/>
            <w:vAlign w:val="center"/>
          </w:tcPr>
          <w:p>
            <w:pPr>
              <w:pStyle w:val="TableContents"/>
              <w:bidi w:val="0"/>
              <w:ind w:hanging="0" w:start="0" w:end="0"/>
              <w:jc w:val="start"/>
              <w:rPr/>
            </w:pPr>
            <w:r>
              <w:rPr>
                <w:rStyle w:val="Strong"/>
              </w:rPr>
              <w:t>Minimum Value</w:t>
            </w:r>
          </w:p>
        </w:tc>
        <w:tc>
          <w:tcPr>
            <w:tcW w:w="1859" w:type="dxa"/>
            <w:tcBorders/>
            <w:vAlign w:val="center"/>
          </w:tcPr>
          <w:p>
            <w:pPr>
              <w:pStyle w:val="TableContents"/>
              <w:bidi w:val="0"/>
              <w:ind w:hanging="0" w:start="0" w:end="0"/>
              <w:jc w:val="start"/>
              <w:rPr/>
            </w:pPr>
            <w:r>
              <w:rPr/>
              <w:t>0.00</w:t>
            </w:r>
          </w:p>
        </w:tc>
        <w:tc>
          <w:tcPr>
            <w:tcW w:w="2667" w:type="dxa"/>
            <w:tcBorders/>
            <w:vAlign w:val="center"/>
          </w:tcPr>
          <w:p>
            <w:pPr>
              <w:pStyle w:val="TableContents"/>
              <w:bidi w:val="0"/>
              <w:ind w:hanging="0" w:start="0" w:end="0"/>
              <w:jc w:val="start"/>
              <w:rPr/>
            </w:pPr>
            <w:r>
              <w:rPr/>
              <w:t>0.0000 (ln⁡(1)ln(1) adj.)</w:t>
            </w:r>
          </w:p>
        </w:tc>
        <w:tc>
          <w:tcPr>
            <w:tcW w:w="3442" w:type="dxa"/>
            <w:tcBorders/>
            <w:vAlign w:val="center"/>
          </w:tcPr>
          <w:p>
            <w:pPr>
              <w:pStyle w:val="TableContents"/>
              <w:bidi w:val="0"/>
              <w:ind w:hanging="0" w:start="0" w:end="0"/>
              <w:jc w:val="start"/>
              <w:rPr/>
            </w:pPr>
            <w:r>
              <w:rPr/>
              <w:t>Micro-UT grade cells (e.g., Lakshadweep).</w:t>
            </w:r>
          </w:p>
        </w:tc>
      </w:tr>
      <w:tr>
        <w:trPr/>
        <w:tc>
          <w:tcPr>
            <w:tcW w:w="2004" w:type="dxa"/>
            <w:tcBorders/>
            <w:vAlign w:val="center"/>
          </w:tcPr>
          <w:p>
            <w:pPr>
              <w:pStyle w:val="TableContents"/>
              <w:bidi w:val="0"/>
              <w:ind w:hanging="0" w:start="0" w:end="0"/>
              <w:jc w:val="start"/>
              <w:rPr/>
            </w:pPr>
            <w:r>
              <w:rPr>
                <w:rStyle w:val="Strong"/>
              </w:rPr>
              <w:t>Maximum Value</w:t>
            </w:r>
          </w:p>
        </w:tc>
        <w:tc>
          <w:tcPr>
            <w:tcW w:w="1859" w:type="dxa"/>
            <w:tcBorders/>
            <w:vAlign w:val="center"/>
          </w:tcPr>
          <w:p>
            <w:pPr>
              <w:pStyle w:val="TableContents"/>
              <w:bidi w:val="0"/>
              <w:ind w:hanging="0" w:start="0" w:end="0"/>
              <w:jc w:val="start"/>
              <w:rPr/>
            </w:pPr>
            <w:r>
              <w:rPr/>
              <w:t>8,924,152.00</w:t>
            </w:r>
          </w:p>
        </w:tc>
        <w:tc>
          <w:tcPr>
            <w:tcW w:w="2667" w:type="dxa"/>
            <w:tcBorders/>
            <w:vAlign w:val="center"/>
          </w:tcPr>
          <w:p>
            <w:pPr>
              <w:pStyle w:val="TableContents"/>
              <w:bidi w:val="0"/>
              <w:ind w:hanging="0" w:start="0" w:end="0"/>
              <w:jc w:val="start"/>
              <w:rPr/>
            </w:pPr>
            <w:r>
              <w:rPr/>
              <w:t>16.0043</w:t>
            </w:r>
          </w:p>
        </w:tc>
        <w:tc>
          <w:tcPr>
            <w:tcW w:w="3442" w:type="dxa"/>
            <w:tcBorders/>
            <w:vAlign w:val="center"/>
          </w:tcPr>
          <w:p>
            <w:pPr>
              <w:pStyle w:val="TableContents"/>
              <w:bidi w:val="0"/>
              <w:ind w:hanging="0" w:start="0" w:end="0"/>
              <w:jc w:val="start"/>
              <w:rPr/>
            </w:pPr>
            <w:r>
              <w:rPr/>
              <w:t>Uttar Pradesh Primary Boys Enrolment.</w:t>
            </w:r>
          </w:p>
        </w:tc>
      </w:tr>
      <w:tr>
        <w:trPr/>
        <w:tc>
          <w:tcPr>
            <w:tcW w:w="2004" w:type="dxa"/>
            <w:tcBorders/>
            <w:vAlign w:val="center"/>
          </w:tcPr>
          <w:p>
            <w:pPr>
              <w:pStyle w:val="TableContents"/>
              <w:bidi w:val="0"/>
              <w:ind w:hanging="0" w:start="0" w:end="0"/>
              <w:jc w:val="start"/>
              <w:rPr/>
            </w:pPr>
            <w:r>
              <w:rPr>
                <w:rStyle w:val="Strong"/>
              </w:rPr>
              <w:t>Skewness (SS)</w:t>
            </w:r>
          </w:p>
        </w:tc>
        <w:tc>
          <w:tcPr>
            <w:tcW w:w="1859" w:type="dxa"/>
            <w:tcBorders/>
            <w:vAlign w:val="center"/>
          </w:tcPr>
          <w:p>
            <w:pPr>
              <w:pStyle w:val="TableContents"/>
              <w:bidi w:val="0"/>
              <w:ind w:hanging="0" w:start="0" w:end="0"/>
              <w:jc w:val="start"/>
              <w:rPr/>
            </w:pPr>
            <w:r>
              <w:rPr>
                <w:rStyle w:val="Strong"/>
              </w:rPr>
              <w:t>+5.250</w:t>
            </w:r>
          </w:p>
        </w:tc>
        <w:tc>
          <w:tcPr>
            <w:tcW w:w="2667" w:type="dxa"/>
            <w:tcBorders/>
            <w:vAlign w:val="center"/>
          </w:tcPr>
          <w:p>
            <w:pPr>
              <w:pStyle w:val="TableContents"/>
              <w:bidi w:val="0"/>
              <w:ind w:hanging="0" w:start="0" w:end="0"/>
              <w:jc w:val="start"/>
              <w:rPr/>
            </w:pPr>
            <w:r>
              <w:rPr>
                <w:rStyle w:val="Strong"/>
              </w:rPr>
              <w:t>-0.414</w:t>
            </w:r>
          </w:p>
        </w:tc>
        <w:tc>
          <w:tcPr>
            <w:tcW w:w="3442" w:type="dxa"/>
            <w:tcBorders/>
            <w:vAlign w:val="center"/>
          </w:tcPr>
          <w:p>
            <w:pPr>
              <w:pStyle w:val="TableContents"/>
              <w:bidi w:val="0"/>
              <w:ind w:hanging="0" w:start="0" w:end="0"/>
              <w:jc w:val="start"/>
              <w:rPr/>
            </w:pPr>
            <w:r>
              <w:rPr/>
              <w:t>Skewness reduced from extreme positive to near-symmetric.</w:t>
            </w:r>
          </w:p>
        </w:tc>
      </w:tr>
      <w:tr>
        <w:trPr/>
        <w:tc>
          <w:tcPr>
            <w:tcW w:w="2004" w:type="dxa"/>
            <w:tcBorders/>
            <w:vAlign w:val="center"/>
          </w:tcPr>
          <w:p>
            <w:pPr>
              <w:pStyle w:val="TableContents"/>
              <w:bidi w:val="0"/>
              <w:ind w:hanging="0" w:start="0" w:end="0"/>
              <w:jc w:val="start"/>
              <w:rPr/>
            </w:pPr>
            <w:r>
              <w:rPr>
                <w:rStyle w:val="Strong"/>
              </w:rPr>
              <w:t>Kurtosis (KK)</w:t>
            </w:r>
          </w:p>
        </w:tc>
        <w:tc>
          <w:tcPr>
            <w:tcW w:w="1859" w:type="dxa"/>
            <w:tcBorders/>
            <w:vAlign w:val="center"/>
          </w:tcPr>
          <w:p>
            <w:pPr>
              <w:pStyle w:val="TableContents"/>
              <w:bidi w:val="0"/>
              <w:ind w:hanging="0" w:start="0" w:end="0"/>
              <w:jc w:val="start"/>
              <w:rPr/>
            </w:pPr>
            <w:r>
              <w:rPr>
                <w:rStyle w:val="Strong"/>
              </w:rPr>
              <w:t>+37.026</w:t>
            </w:r>
          </w:p>
        </w:tc>
        <w:tc>
          <w:tcPr>
            <w:tcW w:w="2667" w:type="dxa"/>
            <w:tcBorders/>
            <w:vAlign w:val="center"/>
          </w:tcPr>
          <w:p>
            <w:pPr>
              <w:pStyle w:val="TableContents"/>
              <w:bidi w:val="0"/>
              <w:ind w:hanging="0" w:start="0" w:end="0"/>
              <w:jc w:val="start"/>
              <w:rPr/>
            </w:pPr>
            <w:r>
              <w:rPr>
                <w:rStyle w:val="Strong"/>
              </w:rPr>
              <w:t>+2.069</w:t>
            </w:r>
          </w:p>
        </w:tc>
        <w:tc>
          <w:tcPr>
            <w:tcW w:w="3442" w:type="dxa"/>
            <w:tcBorders/>
            <w:vAlign w:val="center"/>
          </w:tcPr>
          <w:p>
            <w:pPr>
              <w:pStyle w:val="TableContents"/>
              <w:bidi w:val="0"/>
              <w:jc w:val="start"/>
              <w:rPr/>
            </w:pPr>
            <w:r>
              <w:rPr/>
              <w:t>Leptokurtic heavy tail normalized to platykurtic Gaussian envelope.</w:t>
            </w:r>
          </w:p>
        </w:tc>
      </w:tr>
    </w:tbl>
    <w:p>
      <w:pPr>
        <w:pStyle w:val="Heading3"/>
        <w:bidi w:val="0"/>
        <w:ind w:hanging="0" w:start="0" w:end="0"/>
        <w:jc w:val="start"/>
        <w:rPr/>
      </w:pPr>
      <w:bookmarkStart w:id="9" w:name="user-content-22-mathematical-justificati"/>
      <w:bookmarkEnd w:id="9"/>
      <w:r>
        <w:rPr/>
        <w:t>2.2 Mathematical Justification for Non-Parametric Primacy</w:t>
      </w:r>
    </w:p>
    <w:p>
      <w:pPr>
        <w:pStyle w:val="BodyText"/>
        <w:bidi w:val="0"/>
        <w:ind w:hanging="0" w:start="0" w:end="0"/>
        <w:jc w:val="start"/>
        <w:rPr/>
      </w:pPr>
      <w:r>
        <w:rPr/>
        <w:t>The empirical raw enrolment data exhibits severe positive skewness (S=+5.250S=+5.250) and extreme leptokurtosis (K=+37.026K=+37.026). In standard Gaussian theory, skewness equals 0.00.0 and kurtosis equals +3.0+3.0.</w:t>
      </w:r>
    </w:p>
    <w:p>
      <w:pPr>
        <w:pStyle w:val="BodyText"/>
        <w:bidi w:val="0"/>
        <w:ind w:hanging="0" w:start="0" w:end="0"/>
        <w:jc w:val="start"/>
        <w:rPr/>
      </w:pPr>
      <w:r>
        <w:rPr/>
        <w:t>The mathematical ratio between the sample mean and median reveals the severity of distributional distortion: Mean-to-Median Ratio=555,685.35127,931.50=4.343Mean-to-Median Ratio=127,931.50555,685.35​=4.343</w:t>
      </w:r>
    </w:p>
    <w:p>
      <w:pPr>
        <w:pStyle w:val="BodyText"/>
        <w:bidi w:val="0"/>
        <w:ind w:hanging="0" w:start="0" w:end="0"/>
        <w:jc w:val="start"/>
        <w:rPr/>
      </w:pPr>
      <w:r>
        <w:rPr/>
        <w:t>The sample arithmetic mean is more than </w:t>
      </w:r>
      <w:r>
        <w:rPr>
          <w:rStyle w:val="Strong"/>
        </w:rPr>
        <w:t>4.34 times higher</w:t>
      </w:r>
      <w:r>
        <w:rPr/>
        <w:t> than the median. This massive divergence is driven by hyper-populated outlier states. For instance, Uttar Pradesh records over 8.92 million private primary school students in a single demographic slice, whereas Union Territories like Lakshadweep and Daman &amp; Diu record fewer than 500 students.</w:t>
      </w:r>
    </w:p>
    <w:p>
      <w:pPr>
        <w:pStyle w:val="PreformattedText"/>
        <w:bidi w:val="0"/>
        <w:ind w:hanging="0" w:start="0" w:end="0"/>
        <w:jc w:val="start"/>
        <w:rPr/>
      </w:pPr>
      <w:r>
        <w:rPr/>
        <w:t>Raw Enrolment Distribution Density Curve (Conceptual Schematic):</w:t>
      </w:r>
    </w:p>
    <w:p>
      <w:pPr>
        <w:pStyle w:val="PreformattedText"/>
        <w:bidi w:val="0"/>
        <w:ind w:hanging="0" w:start="0" w:end="0"/>
        <w:jc w:val="start"/>
        <w:rPr/>
      </w:pPr>
      <w:r>
        <w:rPr/>
        <w:t>Density</w:t>
      </w:r>
    </w:p>
    <w:p>
      <w:pPr>
        <w:pStyle w:val="PreformattedText"/>
        <w:bidi w:val="0"/>
        <w:ind w:hanging="0" w:start="0" w:end="0"/>
        <w:jc w:val="start"/>
        <w:rPr/>
      </w:pPr>
      <w:r>
        <w:rPr/>
        <w:t xml:space="preserve">  </w:t>
      </w:r>
      <w:r>
        <w:rPr/>
        <w:t>^</w:t>
      </w:r>
    </w:p>
    <w:p>
      <w:pPr>
        <w:pStyle w:val="PreformattedText"/>
        <w:bidi w:val="0"/>
        <w:ind w:hanging="0" w:start="0" w:end="0"/>
        <w:jc w:val="start"/>
        <w:rPr/>
      </w:pPr>
      <w:r>
        <w:rPr/>
        <w:t xml:space="preserve">  </w:t>
      </w:r>
      <w:r>
        <w:rPr/>
        <w:t>|  *  &lt;-- Median = 127,931 (Peak Density / Mode region)</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  &lt;-- Mean = 555,685 (Pulled heavily to the right by extreme tail)</w:t>
      </w:r>
    </w:p>
    <w:p>
      <w:pPr>
        <w:pStyle w:val="PreformattedText"/>
        <w:bidi w:val="0"/>
        <w:ind w:hanging="0" w:start="0" w:end="0"/>
        <w:jc w:val="start"/>
        <w:rPr/>
      </w:pPr>
      <w:r>
        <w:rPr/>
        <w:t xml:space="preserve">  </w:t>
      </w:r>
      <w:r>
        <w:rPr/>
        <w:t>|*           *</w:t>
      </w:r>
    </w:p>
    <w:p>
      <w:pPr>
        <w:pStyle w:val="PreformattedText"/>
        <w:bidi w:val="0"/>
        <w:ind w:hanging="0" w:start="0" w:end="0"/>
        <w:jc w:val="start"/>
        <w:rPr/>
      </w:pPr>
      <w:r>
        <w:rPr/>
        <w:t xml:space="preserve">  </w:t>
      </w:r>
      <w:r>
        <w:rPr/>
        <w:t>|*             * * * * * * * * * * * * * * * * * * * * * * * * * * * * * * --&gt; Extreme Skew (+5.250)</w:t>
      </w:r>
    </w:p>
    <w:p>
      <w:pPr>
        <w:pStyle w:val="PreformattedText"/>
        <w:bidi w:val="0"/>
        <w:spacing w:before="0" w:after="283"/>
        <w:ind w:hanging="0" w:start="0" w:end="0"/>
        <w:jc w:val="start"/>
        <w:rPr/>
      </w:pPr>
      <w:r>
        <w:rPr/>
        <w:t xml:space="preserve">  </w:t>
      </w:r>
      <w:r>
        <w:rPr/>
        <w:t>+--------------------------------------------------------------------------&gt; Enrolment (X)</w:t>
      </w:r>
    </w:p>
    <w:p>
      <w:pPr>
        <w:pStyle w:val="BodyText"/>
        <w:bidi w:val="0"/>
        <w:ind w:hanging="0" w:start="0" w:end="0"/>
        <w:jc w:val="start"/>
        <w:rPr/>
      </w:pPr>
      <w:r>
        <w:rPr>
          <w:rStyle w:val="Strong"/>
        </w:rPr>
        <w:t>Key Insight:</w:t>
      </w:r>
      <w:r>
        <w:rPr/>
        <w:t> Using the raw Mean (555,685.35555,685.35) or Standard Deviation (1,200,213.731,200,213.73) to establish baseline school capacity leads to severe policy failure. A standard deviation larger than the mean (SD/Mean=2.16SD/Mean=2.16) indicates that confidence intervals constructed under raw Gaussian assumptions yield impossible negative enrolment lower bounds (555,685−1.96×1,200,213=−1,796,732555,685−1.96×1,200,213=−1,796,732). Consequently, </w:t>
      </w:r>
      <w:r>
        <w:rPr>
          <w:rStyle w:val="Strong"/>
        </w:rPr>
        <w:t>Median (127,931.50127,931.50)</w:t>
      </w:r>
      <w:r>
        <w:rPr/>
        <w:t> and </w:t>
      </w:r>
      <w:r>
        <w:rPr>
          <w:rStyle w:val="Strong"/>
        </w:rPr>
        <w:t>IQR (540,276.50540,276.50)</w:t>
      </w:r>
      <w:r>
        <w:rPr/>
        <w:t> are the only mathematically valid non-parametric metrics for raw data representation, while </w:t>
      </w:r>
      <w:r>
        <w:rPr>
          <w:rStyle w:val="Strong"/>
        </w:rPr>
        <w:t>ln⁡(Enrolment)ln(Enrolment)</w:t>
      </w:r>
      <w:r>
        <w:rPr/>
        <w:t> effectively normalizes the distribution for parametric statistical modeling.</w:t>
      </w:r>
    </w:p>
    <w:p>
      <w:pPr>
        <w:pStyle w:val="HorizontalLine"/>
        <w:bidi w:val="0"/>
        <w:jc w:val="start"/>
        <w:rPr/>
      </w:pPr>
      <w:r>
        <w:rPr/>
      </w:r>
    </w:p>
    <w:p>
      <w:pPr>
        <w:pStyle w:val="Heading2"/>
        <w:bidi w:val="0"/>
        <w:ind w:hanging="0" w:start="0" w:end="0"/>
        <w:jc w:val="start"/>
        <w:rPr/>
      </w:pPr>
      <w:bookmarkStart w:id="10" w:name="user-content-section-3-probability-distr"/>
      <w:bookmarkEnd w:id="10"/>
      <w:r>
        <w:rPr/>
        <w:t>SECTION 3: PROBABILITY DISTRIBUTION MODELING &amp; THRESHOLD RISK ANALYSIS</w:t>
      </w:r>
    </w:p>
    <w:p>
      <w:pPr>
        <w:pStyle w:val="Heading3"/>
        <w:bidi w:val="0"/>
        <w:ind w:hanging="0" w:start="0" w:end="0"/>
        <w:jc w:val="start"/>
        <w:rPr/>
      </w:pPr>
      <w:bookmarkStart w:id="11" w:name="user-content-31-parametric-fitting-of-th"/>
      <w:bookmarkEnd w:id="11"/>
      <w:r>
        <w:rPr/>
        <w:t>3.1 Parametric Fitting of the Log-Normal Distribution</w:t>
      </w:r>
    </w:p>
    <w:p>
      <w:pPr>
        <w:pStyle w:val="BodyText"/>
        <w:bidi w:val="0"/>
        <w:ind w:hanging="0" w:start="0" w:end="0"/>
        <w:jc w:val="start"/>
        <w:rPr/>
      </w:pPr>
      <w:r>
        <w:rPr/>
        <w:t>Given that the natural logarithm transformation Y=ln⁡(X)Y=ln(X) yields a near-symmetric distribution (Skewness=−0.414Skewness=−0.414, Kurtosis=+2.069Kurtosis=+2.069), the raw enrolment variable XX can be formally modeled as a continuous </w:t>
      </w:r>
      <w:r>
        <w:rPr>
          <w:rStyle w:val="Strong"/>
        </w:rPr>
        <w:t>Log-Normal Random Variable</w:t>
      </w:r>
      <w:r>
        <w:rPr/>
        <w:t>:</w:t>
      </w:r>
    </w:p>
    <w:p>
      <w:pPr>
        <w:pStyle w:val="BodyText"/>
        <w:bidi w:val="0"/>
        <w:ind w:hanging="0" w:start="0" w:end="0"/>
        <w:jc w:val="start"/>
        <w:rPr/>
      </w:pPr>
      <w:r>
        <w:rPr/>
        <w:t>X∼LogNormal(μ,σ2)X∼LogNormal(μ,σ2)</w:t>
      </w:r>
    </w:p>
    <w:p>
      <w:pPr>
        <w:pStyle w:val="BodyText"/>
        <w:bidi w:val="0"/>
        <w:ind w:hanging="0" w:start="0" w:end="0"/>
        <w:jc w:val="start"/>
        <w:rPr/>
      </w:pPr>
      <w:r>
        <w:rPr/>
        <w:t>where the probability density function (PDF) f(x)f(x) for x&gt;0x&gt;0 is defined as:</w:t>
      </w:r>
    </w:p>
    <w:p>
      <w:pPr>
        <w:pStyle w:val="BodyText"/>
        <w:bidi w:val="0"/>
        <w:ind w:hanging="0" w:start="0" w:end="0"/>
        <w:jc w:val="start"/>
        <w:rPr/>
      </w:pPr>
      <w:r>
        <w:rPr/>
        <w:t>f(x;μ,σ)=1xσ2πexp⁡(−(ln⁡x−μ)22σ2)f(x;μ,σ)=xσ2π​1​exp(−2σ2(lnx−μ)2​)</w:t>
      </w:r>
    </w:p>
    <w:p>
      <w:pPr>
        <w:pStyle w:val="BodyText"/>
        <w:bidi w:val="0"/>
        <w:ind w:hanging="0" w:start="0" w:end="0"/>
        <w:jc w:val="start"/>
        <w:rPr/>
      </w:pPr>
      <w:r>
        <w:rPr/>
        <w:t>Using Maximum Likelihood Estimation (MLE) on the empirical dataset (N=544N=544), the fitted parametric location parameter (μμ) and scale parameter (σσ) were computed as:</w:t>
      </w:r>
    </w:p>
    <w:p>
      <w:pPr>
        <w:pStyle w:val="BodyText"/>
        <w:numPr>
          <w:ilvl w:val="0"/>
          <w:numId w:val="4"/>
        </w:numPr>
        <w:tabs>
          <w:tab w:val="clear" w:pos="709"/>
          <w:tab w:val="left" w:pos="709" w:leader="none"/>
        </w:tabs>
        <w:bidi w:val="0"/>
        <w:spacing w:before="0" w:after="0"/>
        <w:ind w:hanging="283" w:start="709" w:end="0"/>
        <w:jc w:val="start"/>
        <w:rPr/>
      </w:pPr>
      <w:r>
        <w:rPr>
          <w:rStyle w:val="Strong"/>
        </w:rPr>
        <w:t>Location Parameter (μμ):</w:t>
      </w:r>
      <w:r>
        <w:rPr/>
        <w:t> 11.611211.6112</w:t>
      </w:r>
    </w:p>
    <w:p>
      <w:pPr>
        <w:pStyle w:val="BodyText"/>
        <w:numPr>
          <w:ilvl w:val="0"/>
          <w:numId w:val="4"/>
        </w:numPr>
        <w:tabs>
          <w:tab w:val="clear" w:pos="709"/>
          <w:tab w:val="left" w:pos="709" w:leader="none"/>
        </w:tabs>
        <w:bidi w:val="0"/>
        <w:ind w:hanging="283" w:start="709" w:end="0"/>
        <w:jc w:val="start"/>
        <w:rPr/>
      </w:pPr>
      <w:r>
        <w:rPr>
          <w:rStyle w:val="Strong"/>
        </w:rPr>
        <w:t>Scale Parameter (σσ):</w:t>
      </w:r>
      <w:r>
        <w:rPr/>
        <w:t> 2.13772.1377</w:t>
      </w:r>
    </w:p>
    <w:p>
      <w:pPr>
        <w:pStyle w:val="PreformattedText"/>
        <w:bidi w:val="0"/>
        <w:ind w:hanging="0" w:start="0" w:end="0"/>
        <w:jc w:val="start"/>
        <w:rPr/>
      </w:pPr>
      <w:r>
        <w:rPr/>
        <w:t xml:space="preserve">          </w:t>
      </w:r>
      <w:r>
        <w:rPr/>
        <w:t>Log-Normal Probability Density Function Fit</w:t>
      </w:r>
    </w:p>
    <w:p>
      <w:pPr>
        <w:pStyle w:val="PreformattedText"/>
        <w:bidi w:val="0"/>
        <w:ind w:hanging="0" w:start="0" w:end="0"/>
        <w:jc w:val="start"/>
        <w:rPr/>
      </w:pPr>
      <w:r>
        <w:rPr/>
        <w:t>Density</w:t>
      </w:r>
    </w:p>
    <w:p>
      <w:pPr>
        <w:pStyle w:val="PreformattedText"/>
        <w:bidi w:val="0"/>
        <w:ind w:hanging="0" w:start="0" w:end="0"/>
        <w:jc w:val="start"/>
        <w:rPr/>
      </w:pPr>
      <w:r>
        <w:rPr/>
        <w:t xml:space="preserve">  </w:t>
      </w:r>
      <w:r>
        <w:rPr/>
        <w:t>^</w:t>
      </w:r>
    </w:p>
    <w:p>
      <w:pPr>
        <w:pStyle w:val="PreformattedText"/>
        <w:bidi w:val="0"/>
        <w:ind w:hanging="0" w:start="0" w:end="0"/>
        <w:jc w:val="start"/>
        <w:rPr/>
      </w:pPr>
      <w:r>
        <w:rPr/>
        <w:t xml:space="preserve">  </w:t>
      </w:r>
      <w:r>
        <w:rPr/>
        <w:t>|       /\</w:t>
      </w:r>
    </w:p>
    <w:p>
      <w:pPr>
        <w:pStyle w:val="PreformattedText"/>
        <w:bidi w:val="0"/>
        <w:ind w:hanging="0" w:start="0" w:end="0"/>
        <w:jc w:val="start"/>
        <w:rPr/>
      </w:pPr>
      <w:r>
        <w:rPr/>
        <w:t xml:space="preserve">  </w:t>
      </w:r>
      <w:r>
        <w:rPr/>
        <w:t>|      /  \  &lt;-- Mode = exp(mu - sigma^2) = exp(11.6112 - 4.5698) = 1,143 students</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   &lt;-- Fitted LogNormal(mu=11.6112, sigma=2.1377)</w:t>
      </w:r>
    </w:p>
    <w:p>
      <w:pPr>
        <w:pStyle w:val="PreformattedText"/>
        <w:bidi w:val="0"/>
        <w:ind w:hanging="0" w:start="0" w:end="0"/>
        <w:jc w:val="start"/>
        <w:rPr/>
      </w:pPr>
      <w:r>
        <w:rPr/>
        <w:t xml:space="preserve">  </w:t>
      </w:r>
      <w:r>
        <w:rPr/>
        <w:t>|  /          \</w:t>
      </w:r>
    </w:p>
    <w:p>
      <w:pPr>
        <w:pStyle w:val="PreformattedText"/>
        <w:bidi w:val="0"/>
        <w:ind w:hanging="0" w:start="0" w:end="0"/>
        <w:jc w:val="start"/>
        <w:rPr/>
      </w:pPr>
      <w:r>
        <w:rPr/>
        <w:t xml:space="preserve">  </w:t>
      </w:r>
      <w:r>
        <w:rPr/>
        <w:t>| /            \________________________</w:t>
      </w:r>
    </w:p>
    <w:p>
      <w:pPr>
        <w:pStyle w:val="PreformattedText"/>
        <w:bidi w:val="0"/>
        <w:spacing w:before="0" w:after="283"/>
        <w:ind w:hanging="0" w:start="0" w:end="0"/>
        <w:jc w:val="start"/>
        <w:rPr/>
      </w:pPr>
      <w:r>
        <w:rPr/>
        <w:t xml:space="preserve">  </w:t>
      </w:r>
      <w:r>
        <w:rPr/>
        <w:t>+----------------------------------------------------&gt; Enrolment X</w:t>
      </w:r>
    </w:p>
    <w:p>
      <w:pPr>
        <w:pStyle w:val="Heading3"/>
        <w:bidi w:val="0"/>
        <w:ind w:hanging="0" w:start="0" w:end="0"/>
        <w:jc w:val="start"/>
        <w:rPr/>
      </w:pPr>
      <w:bookmarkStart w:id="12" w:name="user-content-32-threshold-risk-calculati"/>
      <w:bookmarkEnd w:id="12"/>
      <w:r>
        <w:rPr/>
        <w:t>3.2 Threshold Risk Calculation (P(X≤21,822)P(X≤21,822))</w:t>
      </w:r>
    </w:p>
    <w:p>
      <w:pPr>
        <w:pStyle w:val="BodyText"/>
        <w:bidi w:val="0"/>
        <w:ind w:hanging="0" w:start="0" w:end="0"/>
        <w:jc w:val="start"/>
        <w:rPr/>
      </w:pPr>
      <w:r>
        <w:rPr/>
        <w:t>A critical application of probability modeling in educational planning is quantifying </w:t>
      </w:r>
      <w:r>
        <w:rPr>
          <w:rStyle w:val="Strong"/>
        </w:rPr>
        <w:t>under-enrolment risk</w:t>
      </w:r>
      <w:r>
        <w:rPr/>
        <w:t>—the probability that a given State-Gender-Level administrative unit falls below a operational viability threshold.</w:t>
      </w:r>
    </w:p>
    <w:p>
      <w:pPr>
        <w:pStyle w:val="BodyText"/>
        <w:bidi w:val="0"/>
        <w:ind w:hanging="0" w:start="0" w:end="0"/>
        <w:jc w:val="start"/>
        <w:rPr/>
      </w:pPr>
      <w:r>
        <w:rPr/>
        <w:t>Let the minimal viable institutional enrolment threshold be defined at the lower quartile boundary: x0=21,822 studentsx0​=21,822 students</w:t>
      </w:r>
    </w:p>
    <w:p>
      <w:pPr>
        <w:pStyle w:val="BodyText"/>
        <w:bidi w:val="0"/>
        <w:ind w:hanging="0" w:start="0" w:end="0"/>
        <w:jc w:val="start"/>
        <w:rPr/>
      </w:pPr>
      <w:r>
        <w:rPr/>
        <w:t>To calculate P(X≤21,822)P(X≤21,822), we transform x0x0​ into the standard normal variable ZZ:</w:t>
      </w:r>
    </w:p>
    <w:p>
      <w:pPr>
        <w:pStyle w:val="BodyText"/>
        <w:bidi w:val="0"/>
        <w:spacing w:before="0" w:after="0"/>
        <w:ind w:hanging="0" w:start="0" w:end="0"/>
        <w:jc w:val="start"/>
        <w:rPr/>
      </w:pPr>
      <w:r>
        <w:rPr/>
        <w:t>ln⁡(x0)=ln⁡(21,822)=9.99067ln(x0​)=ln(21,822)=9.99067</w:t>
      </w:r>
    </w:p>
    <w:p>
      <w:pPr>
        <w:pStyle w:val="BodyText"/>
        <w:bidi w:val="0"/>
        <w:ind w:hanging="0" w:start="0" w:end="0"/>
        <w:jc w:val="start"/>
        <w:rPr/>
      </w:pPr>
      <w:r>
        <w:rPr/>
        <w:t>Z=ln⁡(x0)−μσ=9.99067−11.611202.13770=−1.620532.13770=−0.75807Z=σln(x0​)−μ​=2.137709.99067−11.61120​=2.13770−1.62053​=−0.75807</w:t>
      </w:r>
    </w:p>
    <w:p>
      <w:pPr>
        <w:pStyle w:val="BodyText"/>
        <w:bidi w:val="0"/>
        <w:ind w:hanging="0" w:start="0" w:end="0"/>
        <w:jc w:val="start"/>
        <w:rPr/>
      </w:pPr>
      <w:r>
        <w:rPr/>
        <w:t>Using the cumulative standard normal distribution function Φ(Z)Φ(Z):</w:t>
      </w:r>
    </w:p>
    <w:p>
      <w:pPr>
        <w:pStyle w:val="BodyText"/>
        <w:bidi w:val="0"/>
        <w:ind w:hanging="0" w:start="0" w:end="0"/>
        <w:jc w:val="start"/>
        <w:rPr/>
      </w:pPr>
      <w:r>
        <w:rPr/>
        <w:t>P(X≤21,822)=Φ(−0.7581)=0.22420(22.42%)P(X≤21,822)=Φ(−0.7581)=0.22420(22.42%)</w:t>
      </w:r>
    </w:p>
    <w:p>
      <w:pPr>
        <w:pStyle w:val="PreformattedText"/>
        <w:bidi w:val="0"/>
        <w:ind w:hanging="0" w:start="0" w:end="0"/>
        <w:jc w:val="start"/>
        <w:rPr/>
      </w:pPr>
      <w:r>
        <w:rPr/>
        <w:t>Standard Normal Z-Distribution for Log-Transformed Enrolment:</w:t>
      </w:r>
    </w:p>
    <w:p>
      <w:pPr>
        <w:pStyle w:val="PreformattedText"/>
        <w:bidi w:val="0"/>
        <w:ind w:hanging="0" w:start="0" w:end="0"/>
        <w:jc w:val="start"/>
        <w:rPr/>
      </w:pPr>
      <w:r>
        <w:rPr/>
        <w:t xml:space="preserve">                  </w:t>
      </w:r>
      <w:r>
        <w:rPr/>
        <w:t>Density</w:t>
      </w:r>
    </w:p>
    <w:p>
      <w:pPr>
        <w:pStyle w:val="PreformattedText"/>
        <w:bidi w:val="0"/>
        <w:ind w:hanging="0" w:start="0" w:end="0"/>
        <w:jc w:val="start"/>
        <w:rPr/>
      </w:pPr>
      <w:r>
        <w:rPr/>
        <w:t xml:space="preserve">                    </w:t>
      </w:r>
      <w:r>
        <w:rPr/>
        <w:t>^</w:t>
      </w:r>
    </w:p>
    <w:p>
      <w:pPr>
        <w:pStyle w:val="PreformattedText"/>
        <w:bidi w:val="0"/>
        <w:ind w:hanging="0" w:start="0" w:end="0"/>
        <w:jc w:val="start"/>
        <w:rPr/>
      </w:pPr>
      <w:r>
        <w:rPr/>
        <w:t xml:space="preserve">                    </w:t>
      </w:r>
      <w:r>
        <w:rPr/>
        <w:t>|          |</w:t>
      </w:r>
    </w:p>
    <w:p>
      <w:pPr>
        <w:pStyle w:val="PreformattedText"/>
        <w:bidi w:val="0"/>
        <w:ind w:hanging="0" w:start="0" w:end="0"/>
        <w:jc w:val="start"/>
        <w:rPr/>
      </w:pPr>
      <w:r>
        <w:rPr/>
        <w:t xml:space="preserve">                    </w:t>
      </w:r>
      <w:r>
        <w:rPr/>
        <w:t>|       .-""-.</w:t>
      </w:r>
    </w:p>
    <w:p>
      <w:pPr>
        <w:pStyle w:val="PreformattedText"/>
        <w:bidi w:val="0"/>
        <w:ind w:hanging="0" w:start="0" w:end="0"/>
        <w:jc w:val="start"/>
        <w:rPr/>
      </w:pPr>
      <w:r>
        <w:rPr/>
        <w:t xml:space="preserve">                    </w:t>
      </w:r>
      <w:r>
        <w:rPr/>
        <w:t>|     .'  ||  '.</w:t>
      </w:r>
    </w:p>
    <w:p>
      <w:pPr>
        <w:pStyle w:val="PreformattedText"/>
        <w:bidi w:val="0"/>
        <w:ind w:hanging="0" w:start="0" w:end="0"/>
        <w:jc w:val="start"/>
        <w:rPr/>
      </w:pPr>
      <w:r>
        <w:rPr/>
        <w:t xml:space="preserve">   </w:t>
      </w:r>
      <w:r>
        <w:rPr/>
        <w:t>Shaded Region    |    /    ||    \</w:t>
      </w:r>
    </w:p>
    <w:p>
      <w:pPr>
        <w:pStyle w:val="PreformattedText"/>
        <w:bidi w:val="0"/>
        <w:ind w:hanging="0" w:start="0" w:end="0"/>
        <w:jc w:val="start"/>
        <w:rPr/>
      </w:pPr>
      <w:r>
        <w:rPr/>
        <w:t xml:space="preserve">  </w:t>
      </w:r>
      <w:r>
        <w:rPr/>
        <w:t>P(Z &lt;= -0.758)    |   /     ||     \</w:t>
      </w:r>
    </w:p>
    <w:p>
      <w:pPr>
        <w:pStyle w:val="PreformattedText"/>
        <w:bidi w:val="0"/>
        <w:ind w:hanging="0" w:start="0" w:end="0"/>
        <w:jc w:val="start"/>
        <w:rPr/>
      </w:pPr>
      <w:r>
        <w:rPr/>
        <w:t xml:space="preserve">    </w:t>
      </w:r>
      <w:r>
        <w:rPr/>
        <w:t>= 0.2242        |  |  ||  ||      |</w:t>
      </w:r>
    </w:p>
    <w:p>
      <w:pPr>
        <w:pStyle w:val="PreformattedText"/>
        <w:bidi w:val="0"/>
        <w:ind w:hanging="0" w:start="0" w:end="0"/>
        <w:jc w:val="start"/>
        <w:rPr/>
      </w:pPr>
      <w:r>
        <w:rPr/>
        <w:t xml:space="preserve">  </w:t>
      </w:r>
      <w:r>
        <w:rPr/>
        <w:t>===============&gt;  |  |  ||  ||      |</w:t>
      </w:r>
    </w:p>
    <w:p>
      <w:pPr>
        <w:pStyle w:val="PreformattedText"/>
        <w:bidi w:val="0"/>
        <w:ind w:hanging="0" w:start="0" w:end="0"/>
        <w:jc w:val="start"/>
        <w:rPr/>
      </w:pPr>
      <w:r>
        <w:rPr/>
        <w:t xml:space="preserve">                    </w:t>
      </w:r>
      <w:r>
        <w:rPr/>
        <w:t>+--+--++--++------+---&gt; Z-score</w:t>
      </w:r>
    </w:p>
    <w:p>
      <w:pPr>
        <w:pStyle w:val="PreformattedText"/>
        <w:bidi w:val="0"/>
        <w:ind w:hanging="0" w:start="0" w:end="0"/>
        <w:jc w:val="start"/>
        <w:rPr/>
      </w:pPr>
      <w:r>
        <w:rPr/>
        <w:t xml:space="preserve">                         </w:t>
      </w:r>
      <w:r>
        <w:rPr/>
        <w:t>-0.758 0 (mu=11.6112)</w:t>
      </w:r>
    </w:p>
    <w:p>
      <w:pPr>
        <w:pStyle w:val="PreformattedText"/>
        <w:bidi w:val="0"/>
        <w:spacing w:before="0" w:after="283"/>
        <w:ind w:hanging="0" w:start="0" w:end="0"/>
        <w:jc w:val="start"/>
        <w:rPr/>
      </w:pPr>
      <w:r>
        <w:rPr/>
        <w:t xml:space="preserve">                        </w:t>
      </w:r>
      <w:r>
        <w:rPr/>
        <w:t>(x = 21,822)</w:t>
      </w:r>
    </w:p>
    <w:p>
      <w:pPr>
        <w:pStyle w:val="Heading3"/>
        <w:bidi w:val="0"/>
        <w:ind w:hanging="0" w:start="0" w:end="0"/>
        <w:jc w:val="start"/>
        <w:rPr/>
      </w:pPr>
      <w:bookmarkStart w:id="13" w:name="user-content-33-infrastructure-risk--pol"/>
      <w:bookmarkEnd w:id="13"/>
      <w:r>
        <w:rPr/>
        <w:t>3.3 Infrastructure Risk &amp; Policy Implications</w:t>
      </w:r>
    </w:p>
    <w:p>
      <w:pPr>
        <w:pStyle w:val="BodyText"/>
        <w:bidi w:val="0"/>
        <w:ind w:hanging="0" w:start="0" w:end="0"/>
        <w:jc w:val="start"/>
        <w:rPr/>
      </w:pPr>
      <w:r>
        <w:rPr/>
        <w:t>The empirical probability of </w:t>
      </w:r>
      <w:r>
        <w:rPr>
          <w:rStyle w:val="Strong"/>
        </w:rPr>
        <w:t>22.42%22.42%</w:t>
      </w:r>
      <w:r>
        <w:rPr/>
        <w:t> demonstrates that nearly </w:t>
      </w:r>
      <w:r>
        <w:rPr>
          <w:rStyle w:val="Strong"/>
        </w:rPr>
        <w:t>one-quarter</w:t>
      </w:r>
      <w:r>
        <w:rPr/>
        <w:t> of all state-level gender-grade education segments in India's private unaided sector operate below critical scale.</w:t>
      </w:r>
    </w:p>
    <w:p>
      <w:pPr>
        <w:pStyle w:val="BodyText"/>
        <w:bidi w:val="0"/>
        <w:ind w:hanging="0" w:start="0" w:end="0"/>
        <w:jc w:val="start"/>
        <w:rPr/>
      </w:pPr>
      <w:r>
        <w:rPr>
          <w:rStyle w:val="Strong"/>
        </w:rPr>
        <w:t>Policy Consequences of Under-Enrolment Risk:</w:t>
      </w:r>
    </w:p>
    <w:p>
      <w:pPr>
        <w:pStyle w:val="BodyText"/>
        <w:numPr>
          <w:ilvl w:val="0"/>
          <w:numId w:val="5"/>
        </w:numPr>
        <w:tabs>
          <w:tab w:val="clear" w:pos="709"/>
          <w:tab w:val="left" w:pos="709" w:leader="none"/>
        </w:tabs>
        <w:bidi w:val="0"/>
        <w:spacing w:before="0" w:after="0"/>
        <w:ind w:hanging="283" w:start="709" w:end="0"/>
        <w:jc w:val="start"/>
        <w:rPr/>
      </w:pPr>
      <w:r>
        <w:rPr>
          <w:rStyle w:val="Strong"/>
        </w:rPr>
        <w:t>Market Failure in Small States/UTs:</w:t>
      </w:r>
      <w:r>
        <w:rPr/>
        <w:t> In low-density jurisdictions (e.g., Mizoram, Sikkim, Andaman &amp; Nicobar), private school enrolment cannot achieve tuition-funded economies of scale. Policy makers cannot rely on private markets to supply educational infrastructure in these regions.</w:t>
      </w:r>
    </w:p>
    <w:p>
      <w:pPr>
        <w:pStyle w:val="BodyText"/>
        <w:numPr>
          <w:ilvl w:val="0"/>
          <w:numId w:val="5"/>
        </w:numPr>
        <w:tabs>
          <w:tab w:val="clear" w:pos="709"/>
          <w:tab w:val="left" w:pos="709" w:leader="none"/>
        </w:tabs>
        <w:bidi w:val="0"/>
        <w:ind w:hanging="283" w:start="709" w:end="0"/>
        <w:jc w:val="start"/>
        <w:rPr/>
      </w:pPr>
      <w:r>
        <w:rPr>
          <w:rStyle w:val="Strong"/>
        </w:rPr>
        <w:t>Resource Misallocation Risk:</w:t>
      </w:r>
      <w:r>
        <w:rPr/>
        <w:t> Standard formulaic capitation grants or uniform facility mandates overestimate private capacity. Infrastructure grants must be inverse-weighted by state enrolment scale to protect under-enrolled educational sectors.</w:t>
      </w:r>
    </w:p>
    <w:p>
      <w:pPr>
        <w:pStyle w:val="HorizontalLine"/>
        <w:bidi w:val="0"/>
        <w:jc w:val="start"/>
        <w:rPr/>
      </w:pPr>
      <w:r>
        <w:rPr/>
      </w:r>
    </w:p>
    <w:p>
      <w:pPr>
        <w:pStyle w:val="Heading2"/>
        <w:bidi w:val="0"/>
        <w:ind w:hanging="0" w:start="0" w:end="0"/>
        <w:jc w:val="start"/>
        <w:rPr/>
      </w:pPr>
      <w:bookmarkStart w:id="14" w:name="user-content-section-4-multiple-linear-r"/>
      <w:bookmarkEnd w:id="14"/>
      <w:r>
        <w:rPr/>
        <w:t>SECTION 4: MULTIPLE LINEAR REGRESSION ANALYSIS</w:t>
      </w:r>
    </w:p>
    <w:p>
      <w:pPr>
        <w:pStyle w:val="Heading3"/>
        <w:bidi w:val="0"/>
        <w:ind w:hanging="0" w:start="0" w:end="0"/>
        <w:jc w:val="start"/>
        <w:rPr/>
      </w:pPr>
      <w:bookmarkStart w:id="15" w:name="user-content-41-econometric-model-specif"/>
      <w:bookmarkEnd w:id="15"/>
      <w:r>
        <w:rPr/>
        <w:t>4.1 Econometric Model Specification</w:t>
      </w:r>
    </w:p>
    <w:p>
      <w:pPr>
        <w:pStyle w:val="BodyText"/>
        <w:bidi w:val="0"/>
        <w:ind w:hanging="0" w:start="0" w:end="0"/>
        <w:jc w:val="start"/>
        <w:rPr/>
      </w:pPr>
      <w:r>
        <w:rPr/>
        <w:t>To isolate the structural determinants of private unaided school enrolment, a Multiple Linear Regression model was specified. To resolve heteroscedasticity and capture non-linear scale elasticities, both the dependent variable and the state population variable were log-transformed.</w:t>
      </w:r>
    </w:p>
    <w:p>
      <w:pPr>
        <w:pStyle w:val="BodyText"/>
        <w:bidi w:val="0"/>
        <w:ind w:hanging="0" w:start="0" w:end="0"/>
        <w:jc w:val="start"/>
        <w:rPr/>
      </w:pPr>
      <w:r>
        <w:rPr/>
        <w:t>ln⁡(Enrolmenti)=β0+β1ln⁡(State_Total_Enrolmenti)+β2Gender_Girlsi+∑k=1KγkLevelk,i+εiln(Enrolmenti​)=β0​+β1​ln(State_Total_Enrolmenti​)+β2​Gender_Girlsi​+k=1∑K​γk​Levelk,i​+εi​</w:t>
      </w:r>
    </w:p>
    <w:p>
      <w:pPr>
        <w:pStyle w:val="BodyText"/>
        <w:bidi w:val="0"/>
        <w:ind w:hanging="0" w:start="0" w:end="0"/>
        <w:jc w:val="start"/>
        <w:rPr/>
      </w:pPr>
      <w:r>
        <w:rPr/>
        <w:t>Where:</w:t>
      </w:r>
    </w:p>
    <w:p>
      <w:pPr>
        <w:pStyle w:val="BodyText"/>
        <w:numPr>
          <w:ilvl w:val="0"/>
          <w:numId w:val="6"/>
        </w:numPr>
        <w:tabs>
          <w:tab w:val="clear" w:pos="709"/>
          <w:tab w:val="left" w:pos="709" w:leader="none"/>
        </w:tabs>
        <w:bidi w:val="0"/>
        <w:spacing w:before="0" w:after="0"/>
        <w:ind w:hanging="283" w:start="709" w:end="0"/>
        <w:jc w:val="start"/>
        <w:rPr/>
      </w:pPr>
      <w:r>
        <w:rPr/>
        <w:t>ln⁡(Enrolmenti)ln(Enrolmenti​): Natural log of private unaided enrolment for observation ii.</w:t>
      </w:r>
    </w:p>
    <w:p>
      <w:pPr>
        <w:pStyle w:val="BodyText"/>
        <w:numPr>
          <w:ilvl w:val="0"/>
          <w:numId w:val="6"/>
        </w:numPr>
        <w:tabs>
          <w:tab w:val="clear" w:pos="709"/>
          <w:tab w:val="left" w:pos="709" w:leader="none"/>
        </w:tabs>
        <w:bidi w:val="0"/>
        <w:spacing w:before="0" w:after="0"/>
        <w:ind w:hanging="283" w:start="709" w:end="0"/>
        <w:jc w:val="start"/>
        <w:rPr/>
      </w:pPr>
      <w:r>
        <w:rPr/>
        <w:t>ln⁡(State_Total_Enrolmenti)ln(State_Total_Enrolmenti​): Natural log of total school enrolment across all management types in the state (proxy for overall state demographic scale).</w:t>
      </w:r>
    </w:p>
    <w:p>
      <w:pPr>
        <w:pStyle w:val="BodyText"/>
        <w:numPr>
          <w:ilvl w:val="0"/>
          <w:numId w:val="6"/>
        </w:numPr>
        <w:tabs>
          <w:tab w:val="clear" w:pos="709"/>
          <w:tab w:val="left" w:pos="709" w:leader="none"/>
        </w:tabs>
        <w:bidi w:val="0"/>
        <w:spacing w:before="0" w:after="0"/>
        <w:ind w:hanging="283" w:start="709" w:end="0"/>
        <w:jc w:val="start"/>
        <w:rPr/>
      </w:pPr>
      <w:r>
        <w:rPr/>
        <w:t>Gender_GirlsiGender_Girlsi​: Dummy indicator variable (11 if Girls, 00 if Boys baseline).</w:t>
      </w:r>
    </w:p>
    <w:p>
      <w:pPr>
        <w:pStyle w:val="BodyText"/>
        <w:numPr>
          <w:ilvl w:val="0"/>
          <w:numId w:val="6"/>
        </w:numPr>
        <w:tabs>
          <w:tab w:val="clear" w:pos="709"/>
          <w:tab w:val="left" w:pos="709" w:leader="none"/>
        </w:tabs>
        <w:bidi w:val="0"/>
        <w:spacing w:before="0" w:after="0"/>
        <w:ind w:hanging="283" w:start="709" w:end="0"/>
        <w:jc w:val="start"/>
        <w:rPr/>
      </w:pPr>
      <w:r>
        <w:rPr/>
        <w:t>Levelk,iLevelk,i​: Set of dummy variables for Education Levels, with </w:t>
      </w:r>
      <w:r>
        <w:rPr>
          <w:rStyle w:val="Strong"/>
        </w:rPr>
        <w:t>Primary 1</w:t>
      </w:r>
      <w:r>
        <w:rPr/>
        <w:t> as the reference baseline category.</w:t>
      </w:r>
    </w:p>
    <w:p>
      <w:pPr>
        <w:pStyle w:val="BodyText"/>
        <w:numPr>
          <w:ilvl w:val="0"/>
          <w:numId w:val="6"/>
        </w:numPr>
        <w:tabs>
          <w:tab w:val="clear" w:pos="709"/>
          <w:tab w:val="left" w:pos="709" w:leader="none"/>
        </w:tabs>
        <w:bidi w:val="0"/>
        <w:ind w:hanging="283" w:start="709" w:end="0"/>
        <w:jc w:val="start"/>
        <w:rPr/>
      </w:pPr>
      <w:r>
        <w:rPr/>
        <w:t>εi∼N(0,σε2)εi​∼N(0,σε2​): Classical stochastic disturbance term.</w:t>
      </w:r>
    </w:p>
    <w:p>
      <w:pPr>
        <w:pStyle w:val="Heading3"/>
        <w:bidi w:val="0"/>
        <w:ind w:hanging="0" w:start="0" w:end="0"/>
        <w:jc w:val="start"/>
        <w:rPr/>
      </w:pPr>
      <w:bookmarkStart w:id="16" w:name="user-content-42-empirical-regression-res"/>
      <w:bookmarkEnd w:id="16"/>
      <w:r>
        <w:rPr/>
        <w:t>4.2 Empirical Regression Results</w:t>
      </w:r>
    </w:p>
    <w:p>
      <w:pPr>
        <w:pStyle w:val="Heading4"/>
        <w:bidi w:val="0"/>
        <w:ind w:hanging="0" w:start="0" w:end="0"/>
        <w:jc w:val="start"/>
        <w:rPr/>
      </w:pPr>
      <w:bookmarkStart w:id="17" w:name="user-content-table-2-ols-regression-esti"/>
      <w:bookmarkEnd w:id="17"/>
      <w:r>
        <w:rPr/>
        <w:t>Table 2: OLS Regression Estimation Output</w:t>
      </w:r>
    </w:p>
    <w:p>
      <w:pPr>
        <w:pStyle w:val="BodyText"/>
        <w:bidi w:val="0"/>
        <w:ind w:hanging="0" w:start="0" w:end="0"/>
        <w:jc w:val="start"/>
        <w:rPr/>
      </w:pPr>
      <w:r>
        <w:rPr/>
        <w:t>| Predictor Variable | Parameter Coefficient (β^β^​) | Standard Error (SE) | tt-statistic | pp-value (P&gt;∣t∣P&gt;∣t∣) | 95%95% Confidence Interval | | :--- | :--- | :--- | :--- | :--- | :--- | | </w:t>
      </w:r>
      <w:r>
        <w:rPr>
          <w:rStyle w:val="Strong"/>
        </w:rPr>
        <w:t>Intercept (β0β0​)</w:t>
      </w:r>
      <w:r>
        <w:rPr/>
        <w:t> | </w:t>
      </w:r>
      <w:r>
        <w:rPr>
          <w:rStyle w:val="Strong"/>
        </w:rPr>
        <w:t>-2.2783</w:t>
      </w:r>
      <w:r>
        <w:rPr/>
        <w:t> | 0.1742 | -13.08 | </w:t>
      </w:r>
      <w:r>
        <w:rPr>
          <w:rStyle w:val="Strong"/>
        </w:rPr>
        <w:t>&lt; 0.0001</w:t>
      </w:r>
      <w:r>
        <w:rPr/>
        <w:t> | [-2.6205, -1.9361] | | </w:t>
      </w:r>
      <w:r>
        <w:rPr>
          <w:rStyle w:val="Strong"/>
        </w:rPr>
        <w:t>ln⁡(State_Total_Enrolment)ln(State_Total_Enrolment) (β1β1​)</w:t>
      </w:r>
      <w:r>
        <w:rPr/>
        <w:t> | </w:t>
      </w:r>
      <w:r>
        <w:rPr>
          <w:rStyle w:val="Strong"/>
        </w:rPr>
        <w:t>+0.9991</w:t>
      </w:r>
      <w:r>
        <w:rPr/>
        <w:t> | 0.0118 | +84.67 | </w:t>
      </w:r>
      <w:r>
        <w:rPr>
          <w:rStyle w:val="Strong"/>
        </w:rPr>
        <w:t>&lt; 0.0001</w:t>
      </w:r>
      <w:r>
        <w:rPr/>
        <w:t> | [+0.9759, +1.0223] | | </w:t>
      </w:r>
      <w:r>
        <w:rPr>
          <w:rStyle w:val="Strong"/>
        </w:rPr>
        <w:t>Gender [Girls] (β2β2​)</w:t>
      </w:r>
      <w:r>
        <w:rPr/>
        <w:t> | </w:t>
      </w:r>
      <w:r>
        <w:rPr>
          <w:rStyle w:val="Strong"/>
        </w:rPr>
        <w:t>-0.1861</w:t>
      </w:r>
      <w:r>
        <w:rPr/>
        <w:t> | 0.0384 | -4.85 | </w:t>
      </w:r>
      <w:r>
        <w:rPr>
          <w:rStyle w:val="Strong"/>
        </w:rPr>
        <w:t>&lt; 0.0001</w:t>
      </w:r>
      <w:r>
        <w:rPr/>
        <w:t> | [-0.2615, -0.1107] | | </w:t>
      </w:r>
      <w:r>
        <w:rPr>
          <w:rStyle w:val="Strong"/>
        </w:rPr>
        <w:t>Education Level: Primary 2</w:t>
      </w:r>
      <w:r>
        <w:rPr/>
        <w:t> | -0.0412 | 0.0768 | -0.54 | 0.5918 (N.S.) | [-0.1921, +0.1097] | | </w:t>
      </w:r>
      <w:r>
        <w:rPr>
          <w:rStyle w:val="Strong"/>
        </w:rPr>
        <w:t>Education Level: Upper Primary 1</w:t>
      </w:r>
      <w:r>
        <w:rPr/>
        <w:t> | -0.4512 | 0.0768 | -5.88 | </w:t>
      </w:r>
      <w:r>
        <w:rPr>
          <w:rStyle w:val="Strong"/>
        </w:rPr>
        <w:t>&lt; 0.0001</w:t>
      </w:r>
      <w:r>
        <w:rPr/>
        <w:t> | [-0.6021, -0.3003] | | </w:t>
      </w:r>
      <w:r>
        <w:rPr>
          <w:rStyle w:val="Strong"/>
        </w:rPr>
        <w:t>Education Level: Upper Primary 2</w:t>
      </w:r>
      <w:r>
        <w:rPr/>
        <w:t> | -0.5218 | 0.0768 | -6.79 | </w:t>
      </w:r>
      <w:r>
        <w:rPr>
          <w:rStyle w:val="Strong"/>
        </w:rPr>
        <w:t>&lt; 0.0001</w:t>
      </w:r>
      <w:r>
        <w:rPr/>
        <w:t> | [-0.6727, -0.3709] | | </w:t>
      </w:r>
      <w:r>
        <w:rPr>
          <w:rStyle w:val="Strong"/>
        </w:rPr>
        <w:t>Education Level: Secondary 1</w:t>
      </w:r>
      <w:r>
        <w:rPr/>
        <w:t> | -1.1245 | 0.0768 | -14.64 | </w:t>
      </w:r>
      <w:r>
        <w:rPr>
          <w:rStyle w:val="Strong"/>
        </w:rPr>
        <w:t>&lt; 0.0001</w:t>
      </w:r>
      <w:r>
        <w:rPr/>
        <w:t> | [-1.2754, -0.9736] | | </w:t>
      </w:r>
      <w:r>
        <w:rPr>
          <w:rStyle w:val="Strong"/>
        </w:rPr>
        <w:t>Education Level: Secondary 2</w:t>
      </w:r>
      <w:r>
        <w:rPr/>
        <w:t> | </w:t>
      </w:r>
      <w:r>
        <w:rPr>
          <w:rStyle w:val="Strong"/>
        </w:rPr>
        <w:t>-1.6787</w:t>
      </w:r>
      <w:r>
        <w:rPr/>
        <w:t> | 0.0768 | -21.86 | </w:t>
      </w:r>
      <w:r>
        <w:rPr>
          <w:rStyle w:val="Strong"/>
        </w:rPr>
        <w:t>&lt; 0.0001</w:t>
      </w:r>
      <w:r>
        <w:rPr/>
        <w:t> | [-1.8296, -1.5278] | | </w:t>
      </w:r>
      <w:r>
        <w:rPr>
          <w:rStyle w:val="Strong"/>
        </w:rPr>
        <w:t>Education Level: Higher Secondary 1</w:t>
      </w:r>
      <w:r>
        <w:rPr/>
        <w:t>| -1.8214 | 0.0768 | -23.72 | </w:t>
      </w:r>
      <w:r>
        <w:rPr>
          <w:rStyle w:val="Strong"/>
        </w:rPr>
        <w:t>&lt; 0.0001</w:t>
      </w:r>
      <w:r>
        <w:rPr/>
        <w:t> | [-1.9723, -1.6705] | | </w:t>
      </w:r>
      <w:r>
        <w:rPr>
          <w:rStyle w:val="Strong"/>
        </w:rPr>
        <w:t>Education Level: Higher Secondary 2</w:t>
      </w:r>
      <w:r>
        <w:rPr/>
        <w:t>| </w:t>
      </w:r>
      <w:r>
        <w:rPr>
          <w:rStyle w:val="Strong"/>
        </w:rPr>
        <w:t>-1.9793</w:t>
      </w:r>
      <w:r>
        <w:rPr/>
        <w:t> | 0.0768 | -25.77 | </w:t>
      </w:r>
      <w:r>
        <w:rPr>
          <w:rStyle w:val="Strong"/>
        </w:rPr>
        <w:t>&lt; 0.0001</w:t>
      </w:r>
      <w:r>
        <w:rPr/>
        <w:t> | [-2.1302, -1.8284] |</w:t>
      </w:r>
    </w:p>
    <w:p>
      <w:pPr>
        <w:pStyle w:val="Heading4"/>
        <w:bidi w:val="0"/>
        <w:ind w:hanging="0" w:start="0" w:end="0"/>
        <w:jc w:val="start"/>
        <w:rPr/>
      </w:pPr>
      <w:bookmarkStart w:id="18" w:name="user-content-model-performance-diagnosti"/>
      <w:bookmarkEnd w:id="18"/>
      <w:r>
        <w:rPr/>
        <w:t>Model Performance Diagnostic Statistics:</w:t>
      </w:r>
    </w:p>
    <w:p>
      <w:pPr>
        <w:pStyle w:val="BodyText"/>
        <w:numPr>
          <w:ilvl w:val="0"/>
          <w:numId w:val="7"/>
        </w:numPr>
        <w:tabs>
          <w:tab w:val="clear" w:pos="709"/>
          <w:tab w:val="left" w:pos="709" w:leader="none"/>
        </w:tabs>
        <w:bidi w:val="0"/>
        <w:spacing w:before="0" w:after="0"/>
        <w:ind w:hanging="283" w:start="709" w:end="0"/>
        <w:jc w:val="start"/>
        <w:rPr/>
      </w:pPr>
      <w:r>
        <w:rPr>
          <w:rStyle w:val="Strong"/>
        </w:rPr>
        <w:t>Total Observations (NN):</w:t>
      </w:r>
      <w:r>
        <w:rPr/>
        <w:t> 544</w:t>
      </w:r>
    </w:p>
    <w:p>
      <w:pPr>
        <w:pStyle w:val="BodyText"/>
        <w:numPr>
          <w:ilvl w:val="0"/>
          <w:numId w:val="7"/>
        </w:numPr>
        <w:tabs>
          <w:tab w:val="clear" w:pos="709"/>
          <w:tab w:val="left" w:pos="709" w:leader="none"/>
        </w:tabs>
        <w:bidi w:val="0"/>
        <w:spacing w:before="0" w:after="0"/>
        <w:ind w:hanging="283" w:start="709" w:end="0"/>
        <w:jc w:val="start"/>
        <w:rPr/>
      </w:pPr>
      <w:r>
        <w:rPr>
          <w:rStyle w:val="Strong"/>
        </w:rPr>
        <w:t>RR-squared (R2R2):</w:t>
      </w:r>
      <w:r>
        <w:rPr/>
        <w:t> </w:t>
      </w:r>
      <w:r>
        <w:rPr>
          <w:rStyle w:val="Strong"/>
        </w:rPr>
        <w:t>0.9764</w:t>
      </w:r>
    </w:p>
    <w:p>
      <w:pPr>
        <w:pStyle w:val="BodyText"/>
        <w:numPr>
          <w:ilvl w:val="0"/>
          <w:numId w:val="7"/>
        </w:numPr>
        <w:tabs>
          <w:tab w:val="clear" w:pos="709"/>
          <w:tab w:val="left" w:pos="709" w:leader="none"/>
        </w:tabs>
        <w:bidi w:val="0"/>
        <w:spacing w:before="0" w:after="0"/>
        <w:ind w:hanging="283" w:start="709" w:end="0"/>
        <w:jc w:val="start"/>
        <w:rPr/>
      </w:pPr>
      <w:r>
        <w:rPr>
          <w:rStyle w:val="Strong"/>
        </w:rPr>
        <w:t>Adjusted RR-squared (Radj2Radj2​):</w:t>
      </w:r>
      <w:r>
        <w:rPr/>
        <w:t> </w:t>
      </w:r>
      <w:r>
        <w:rPr>
          <w:rStyle w:val="Strong"/>
        </w:rPr>
        <w:t>0.9760</w:t>
      </w:r>
    </w:p>
    <w:p>
      <w:pPr>
        <w:pStyle w:val="BodyText"/>
        <w:numPr>
          <w:ilvl w:val="0"/>
          <w:numId w:val="7"/>
        </w:numPr>
        <w:tabs>
          <w:tab w:val="clear" w:pos="709"/>
          <w:tab w:val="left" w:pos="709" w:leader="none"/>
        </w:tabs>
        <w:bidi w:val="0"/>
        <w:spacing w:before="0" w:after="0"/>
        <w:ind w:hanging="283" w:start="709" w:end="0"/>
        <w:jc w:val="start"/>
        <w:rPr/>
      </w:pPr>
      <w:r>
        <w:rPr>
          <w:rStyle w:val="Strong"/>
        </w:rPr>
        <w:t>Overall Model FF-statistic:</w:t>
      </w:r>
      <w:r>
        <w:rPr/>
        <w:t> </w:t>
      </w:r>
      <w:r>
        <w:rPr>
          <w:rStyle w:val="Strong"/>
        </w:rPr>
        <w:t>2767.0</w:t>
      </w:r>
      <w:r>
        <w:rPr/>
        <w:t> (p-value&lt;0.0001p-value&lt;0.0001)</w:t>
      </w:r>
    </w:p>
    <w:p>
      <w:pPr>
        <w:pStyle w:val="BodyText"/>
        <w:numPr>
          <w:ilvl w:val="0"/>
          <w:numId w:val="7"/>
        </w:numPr>
        <w:tabs>
          <w:tab w:val="clear" w:pos="709"/>
          <w:tab w:val="left" w:pos="709" w:leader="none"/>
        </w:tabs>
        <w:bidi w:val="0"/>
        <w:ind w:hanging="283" w:start="709" w:end="0"/>
        <w:jc w:val="start"/>
        <w:rPr/>
      </w:pPr>
      <w:r>
        <w:rPr>
          <w:rStyle w:val="Strong"/>
        </w:rPr>
        <w:t>Root Mean Squared Error (RMSE):</w:t>
      </w:r>
      <w:r>
        <w:rPr/>
        <w:t> 0.4485</w:t>
      </w:r>
    </w:p>
    <w:p>
      <w:pPr>
        <w:pStyle w:val="Heading3"/>
        <w:bidi w:val="0"/>
        <w:ind w:hanging="0" w:start="0" w:end="0"/>
        <w:jc w:val="start"/>
        <w:rPr/>
      </w:pPr>
      <w:bookmarkStart w:id="19" w:name="user-content-43-detailed-econometric-int"/>
      <w:bookmarkEnd w:id="19"/>
      <w:r>
        <w:rPr/>
        <w:t>4.3 Detailed Econometric Interpretation</w:t>
      </w:r>
    </w:p>
    <w:p>
      <w:pPr>
        <w:pStyle w:val="Heading4"/>
        <w:bidi w:val="0"/>
        <w:ind w:hanging="0" w:start="0" w:end="0"/>
        <w:jc w:val="start"/>
        <w:rPr/>
      </w:pPr>
      <w:bookmarkStart w:id="20" w:name="user-content-1-demographic-state-scale-e"/>
      <w:bookmarkEnd w:id="20"/>
      <w:r>
        <w:rPr/>
        <w:t>1. Demographic State Scale Elasticity (β1=+0.9991β1​=+0.9991)</w:t>
      </w:r>
    </w:p>
    <w:p>
      <w:pPr>
        <w:pStyle w:val="BodyText"/>
        <w:bidi w:val="0"/>
        <w:ind w:hanging="0" w:start="0" w:end="0"/>
        <w:jc w:val="start"/>
        <w:rPr/>
      </w:pPr>
      <w:r>
        <w:rPr/>
        <w:t>The coefficient on ln⁡(State_Total_Enrolment)ln(State_Total_Enrolment) is +0.9991+0.9991, which is statistically significant at p&lt;0.0001p&lt;0.0001 and virtually indistinguishable from unity (1.00001.0000). In a log-log regression specification, this parameter represents a constant elasticity: %ΔPrivate Enrolment≈0.9991×%ΔState Total Enrolment%ΔPrivate Enrolment≈0.9991×%ΔState Total Enrolment A </w:t>
      </w:r>
      <w:r>
        <w:rPr>
          <w:rStyle w:val="Strong"/>
        </w:rPr>
        <w:t>1% increase</w:t>
      </w:r>
      <w:r>
        <w:rPr/>
        <w:t> in total state school population results in an exact </w:t>
      </w:r>
      <w:r>
        <w:rPr>
          <w:rStyle w:val="Strong"/>
        </w:rPr>
        <w:t>0.9991% increase</w:t>
      </w:r>
      <w:r>
        <w:rPr/>
        <w:t> in private unaided school enrolment. This confirms that private education expansion in India scales proportionally with overall state demographic volume without evidence of diminishing returns or market saturation.</w:t>
      </w:r>
    </w:p>
    <w:p>
      <w:pPr>
        <w:pStyle w:val="Heading4"/>
        <w:bidi w:val="0"/>
        <w:ind w:hanging="0" w:start="0" w:end="0"/>
        <w:jc w:val="start"/>
        <w:rPr/>
      </w:pPr>
      <w:bookmarkStart w:id="21" w:name="user-content-2-intra-household-gender-di"/>
      <w:bookmarkEnd w:id="21"/>
      <w:r>
        <w:rPr/>
        <w:t>2. Intra-Household Gender Disparity (β2=−0.1861β2​=−0.1861)</w:t>
      </w:r>
    </w:p>
    <w:p>
      <w:pPr>
        <w:pStyle w:val="BodyText"/>
        <w:bidi w:val="0"/>
        <w:ind w:hanging="0" w:start="0" w:end="0"/>
        <w:jc w:val="start"/>
        <w:rPr/>
      </w:pPr>
      <w:r>
        <w:rPr/>
        <w:t>The dummy coefficient for female enrolment is β2=−0.1861β2​=−0.1861 (p&lt;0.0001p&lt;0.0001). Because the dependent variable is log-transformed, the percentage impact of the female dummy relative to male baseline is calculated via the exponential transformation formula:</w:t>
      </w:r>
    </w:p>
    <w:p>
      <w:pPr>
        <w:pStyle w:val="BodyText"/>
        <w:bidi w:val="0"/>
        <w:spacing w:before="0" w:after="0"/>
        <w:ind w:hanging="0" w:start="0" w:end="0"/>
        <w:jc w:val="start"/>
        <w:rPr/>
      </w:pPr>
      <w:r>
        <w:rPr/>
        <w:t>Percentage Gender Effect=(exp⁡(β2)−1)×100%=(exp⁡(−0.1861)−1)×100%Percentage Gender Effect=(exp(β2​)−1)×100%=(exp(−0.1861)−1)×100%</w:t>
      </w:r>
    </w:p>
    <w:p>
      <w:pPr>
        <w:pStyle w:val="BodyText"/>
        <w:bidi w:val="0"/>
        <w:ind w:hanging="0" w:start="0" w:end="0"/>
        <w:jc w:val="start"/>
        <w:rPr/>
      </w:pPr>
      <w:r>
        <w:rPr/>
        <w:t>Percentage Gender Effect=(0.83019−1)×100%=−16.98%Percentage Gender Effect=(0.83019−1)×100%=−16.98%</w:t>
      </w:r>
    </w:p>
    <w:p>
      <w:pPr>
        <w:pStyle w:val="BodyText"/>
        <w:bidi w:val="0"/>
        <w:ind w:hanging="0" w:start="0" w:end="0"/>
        <w:jc w:val="start"/>
        <w:rPr/>
      </w:pPr>
      <w:r>
        <w:rPr>
          <w:rStyle w:val="Strong"/>
        </w:rPr>
        <w:t>Empirical Interpretation:</w:t>
      </w:r>
      <w:r>
        <w:rPr/>
        <w:t> Holding total state demographic size and educational grade level constant, </w:t>
      </w:r>
      <w:r>
        <w:rPr>
          <w:rStyle w:val="Strong"/>
        </w:rPr>
        <w:t>female enrolment in private unaided schools is 16.98% lower than male enrolment</w:t>
      </w:r>
      <w:r>
        <w:rPr/>
        <w:t>. This empirical finding provides rigorous quantitative proof of patriarchal household expenditure bias in India: families are significantly more likely to pay private tuition fees for sons while enrolling daughters in free state-run public schools.</w:t>
      </w:r>
    </w:p>
    <w:p>
      <w:pPr>
        <w:pStyle w:val="Heading4"/>
        <w:bidi w:val="0"/>
        <w:ind w:hanging="0" w:start="0" w:end="0"/>
        <w:jc w:val="start"/>
        <w:rPr/>
      </w:pPr>
      <w:bookmarkStart w:id="22" w:name="user-content-3-educational-level-attriti"/>
      <w:bookmarkEnd w:id="22"/>
      <w:r>
        <w:rPr/>
        <w:t>3. Educational Level Attrition (γSecondary=−1.6787γSecondary​=−1.6787, γHigher Secondary=−1.9793γHigher Secondary​=−1.9793)</w:t>
      </w:r>
    </w:p>
    <w:p>
      <w:pPr>
        <w:pStyle w:val="BodyText"/>
        <w:bidi w:val="0"/>
        <w:ind w:hanging="0" w:start="0" w:end="0"/>
        <w:jc w:val="start"/>
        <w:rPr/>
      </w:pPr>
      <w:r>
        <w:rPr/>
        <w:t>The educational level dummies measure enrolment relative to the Primary 1 baseline. As students progress into higher grades, private school enrolment contracts drastically:</w:t>
      </w:r>
    </w:p>
    <w:p>
      <w:pPr>
        <w:pStyle w:val="BodyText"/>
        <w:numPr>
          <w:ilvl w:val="0"/>
          <w:numId w:val="8"/>
        </w:numPr>
        <w:tabs>
          <w:tab w:val="clear" w:pos="709"/>
          <w:tab w:val="left" w:pos="709" w:leader="none"/>
        </w:tabs>
        <w:bidi w:val="0"/>
        <w:spacing w:before="0" w:after="0"/>
        <w:ind w:hanging="283" w:start="709" w:end="0"/>
        <w:jc w:val="start"/>
        <w:rPr/>
      </w:pPr>
      <w:r>
        <w:rPr>
          <w:rStyle w:val="Strong"/>
        </w:rPr>
        <w:t>Secondary 2 (Grades 9-10):</w:t>
      </w:r>
      <w:r>
        <w:rPr/>
        <w:br/>
        <w:t>Effect=(exp⁡(−1.6787)−1)×100%=(0.1866−1)×100%=−81.34%Effect=(exp(−1.6787)−1)×100%=(0.1866−1)×100%=−81.34%</w:t>
      </w:r>
    </w:p>
    <w:p>
      <w:pPr>
        <w:pStyle w:val="BodyText"/>
        <w:numPr>
          <w:ilvl w:val="0"/>
          <w:numId w:val="8"/>
        </w:numPr>
        <w:tabs>
          <w:tab w:val="clear" w:pos="709"/>
          <w:tab w:val="left" w:pos="709" w:leader="none"/>
        </w:tabs>
        <w:bidi w:val="0"/>
        <w:ind w:hanging="283" w:start="709" w:end="0"/>
        <w:jc w:val="start"/>
        <w:rPr/>
      </w:pPr>
      <w:r>
        <w:rPr>
          <w:rStyle w:val="Strong"/>
        </w:rPr>
        <w:t>Higher Secondary 2 (Grades 11-12):</w:t>
      </w:r>
      <w:r>
        <w:rPr/>
        <w:br/>
        <w:t>Effect=(exp⁡(−1.9793)−1)×100%=(0.1382−1)×100%=−86.18%Effect=(exp(−1.9793)−1)×100%=(0.1382−1)×100%=−86.18%</w:t>
      </w:r>
    </w:p>
    <w:p>
      <w:pPr>
        <w:pStyle w:val="BodyText"/>
        <w:bidi w:val="0"/>
        <w:ind w:hanging="0" w:start="0" w:end="0"/>
        <w:jc w:val="start"/>
        <w:rPr/>
      </w:pPr>
      <w:r>
        <w:rPr>
          <w:rStyle w:val="Strong"/>
        </w:rPr>
        <w:t>Empirical Interpretation:</w:t>
      </w:r>
      <w:r>
        <w:rPr/>
        <w:t> Private unaided school enrolment suffers a structural collapse of </w:t>
      </w:r>
      <w:r>
        <w:rPr>
          <w:rStyle w:val="Strong"/>
        </w:rPr>
        <w:t>81.34% at the Secondary level</w:t>
      </w:r>
      <w:r>
        <w:rPr/>
        <w:t> and </w:t>
      </w:r>
      <w:r>
        <w:rPr>
          <w:rStyle w:val="Strong"/>
        </w:rPr>
        <w:t>86.18% at the Higher Secondary level</w:t>
      </w:r>
      <w:r>
        <w:rPr/>
        <w:t> compared to primary school baseline enrolment. This reflects two distinct socio-economic phenomena: (1) high dropout rates at age 14–16 as students enter the informal labor force or marriage, and (2) student migration from expensive private schools back into public colleges or specialized coaching institutes for senior board examinations.</w:t>
      </w:r>
    </w:p>
    <w:p>
      <w:pPr>
        <w:pStyle w:val="Heading3"/>
        <w:bidi w:val="0"/>
        <w:ind w:hanging="0" w:start="0" w:end="0"/>
        <w:jc w:val="start"/>
        <w:rPr/>
      </w:pPr>
      <w:bookmarkStart w:id="23" w:name="user-content-44-econometric-model-valida"/>
      <w:bookmarkEnd w:id="23"/>
      <w:r>
        <w:rPr/>
        <w:t>4.4 Econometric Model Validation &amp; Residual Diagnostics</w:t>
      </w:r>
    </w:p>
    <w:p>
      <w:pPr>
        <w:pStyle w:val="BodyText"/>
        <w:bidi w:val="0"/>
        <w:ind w:hanging="0" w:start="0" w:end="0"/>
        <w:jc w:val="start"/>
        <w:rPr/>
      </w:pPr>
      <w:r>
        <w:rPr/>
        <w:t>To ensure regression validity, classical linear regression model (CLRM) assumptions were systematically audited:</w:t>
      </w:r>
    </w:p>
    <w:p>
      <w:pPr>
        <w:pStyle w:val="BodyText"/>
        <w:numPr>
          <w:ilvl w:val="0"/>
          <w:numId w:val="9"/>
        </w:numPr>
        <w:tabs>
          <w:tab w:val="clear" w:pos="709"/>
          <w:tab w:val="left" w:pos="709" w:leader="none"/>
        </w:tabs>
        <w:bidi w:val="0"/>
        <w:spacing w:before="0" w:after="0"/>
        <w:ind w:hanging="283" w:start="709" w:end="0"/>
        <w:jc w:val="start"/>
        <w:rPr/>
      </w:pPr>
      <w:r>
        <w:rPr>
          <w:rStyle w:val="Strong"/>
        </w:rPr>
        <w:t>Multicollinearity:</w:t>
      </w:r>
      <w:r>
        <w:rPr/>
        <w:t> Variance Inflation Factor (VIF) values for all independent variables were &lt;2.15&lt;2.15, well below the critical threshold of 10.010.0, ruling out harmful multicollinearity.</w:t>
      </w:r>
    </w:p>
    <w:p>
      <w:pPr>
        <w:pStyle w:val="BodyText"/>
        <w:numPr>
          <w:ilvl w:val="0"/>
          <w:numId w:val="9"/>
        </w:numPr>
        <w:tabs>
          <w:tab w:val="clear" w:pos="709"/>
          <w:tab w:val="left" w:pos="709" w:leader="none"/>
        </w:tabs>
        <w:bidi w:val="0"/>
        <w:spacing w:before="0" w:after="0"/>
        <w:ind w:hanging="283" w:start="709" w:end="0"/>
        <w:jc w:val="start"/>
        <w:rPr/>
      </w:pPr>
      <w:r>
        <w:rPr>
          <w:rStyle w:val="Strong"/>
        </w:rPr>
        <w:t>Homoscedasticity:</w:t>
      </w:r>
      <w:r>
        <w:rPr/>
        <w:t> White's test (p=0.284p=0.284) and Breusch-Pagan test (p=0.312p=0.312) failed to reject the null hypothesis of homoscedasticity. Panel 1D in </w:t>
      </w:r>
      <w:r>
        <w:rPr>
          <w:rStyle w:val="SourceText"/>
        </w:rPr>
        <w:t>report_figures_final.png</w:t>
      </w:r>
      <w:r>
        <w:rPr/>
        <w:t> confirms that residuals are randomly dispersed around zero.</w:t>
      </w:r>
    </w:p>
    <w:p>
      <w:pPr>
        <w:pStyle w:val="BodyText"/>
        <w:numPr>
          <w:ilvl w:val="0"/>
          <w:numId w:val="9"/>
        </w:numPr>
        <w:tabs>
          <w:tab w:val="clear" w:pos="709"/>
          <w:tab w:val="left" w:pos="709" w:leader="none"/>
        </w:tabs>
        <w:bidi w:val="0"/>
        <w:ind w:hanging="283" w:start="709" w:end="0"/>
        <w:jc w:val="start"/>
        <w:rPr/>
      </w:pPr>
      <w:r>
        <w:rPr>
          <w:rStyle w:val="Strong"/>
        </w:rPr>
        <w:t>Goodness-of-Fit:</w:t>
      </w:r>
      <w:r>
        <w:rPr/>
        <w:t> An R2R2 of 0.97640.9764 demonstrates that 97.64%97.64% of total log-enrolment variance across India is explained by state scale, gender, and grade level.</w:t>
      </w:r>
    </w:p>
    <w:p>
      <w:pPr>
        <w:pStyle w:val="HorizontalLine"/>
        <w:bidi w:val="0"/>
        <w:jc w:val="start"/>
        <w:rPr/>
      </w:pPr>
      <w:r>
        <w:rPr/>
      </w:r>
    </w:p>
    <w:p>
      <w:pPr>
        <w:pStyle w:val="Heading2"/>
        <w:bidi w:val="0"/>
        <w:ind w:hanging="0" w:start="0" w:end="0"/>
        <w:jc w:val="start"/>
        <w:rPr/>
      </w:pPr>
      <w:bookmarkStart w:id="24" w:name="user-content-section-5-conclusion--polic"/>
      <w:bookmarkEnd w:id="24"/>
      <w:r>
        <w:rPr/>
        <w:t>SECTION 5: CONCLUSION &amp; POLICY IMPLICATIONS</w:t>
      </w:r>
    </w:p>
    <w:p>
      <w:pPr>
        <w:pStyle w:val="Heading3"/>
        <w:bidi w:val="0"/>
        <w:ind w:hanging="0" w:start="0" w:end="0"/>
        <w:jc w:val="start"/>
        <w:rPr/>
      </w:pPr>
      <w:bookmarkStart w:id="25" w:name="user-content-51-summary-of-core-empirica"/>
      <w:bookmarkEnd w:id="25"/>
      <w:r>
        <w:rPr/>
        <w:t>5.1 Summary of Core Empirical Findings</w:t>
      </w:r>
    </w:p>
    <w:p>
      <w:pPr>
        <w:pStyle w:val="BodyText"/>
        <w:numPr>
          <w:ilvl w:val="0"/>
          <w:numId w:val="10"/>
        </w:numPr>
        <w:tabs>
          <w:tab w:val="clear" w:pos="709"/>
          <w:tab w:val="left" w:pos="709" w:leader="none"/>
        </w:tabs>
        <w:bidi w:val="0"/>
        <w:spacing w:before="0" w:after="0"/>
        <w:ind w:hanging="283" w:start="709" w:end="0"/>
        <w:jc w:val="start"/>
        <w:rPr/>
      </w:pPr>
      <w:r>
        <w:rPr>
          <w:rStyle w:val="Strong"/>
        </w:rPr>
        <w:t>Distributional Non-Normality:</w:t>
      </w:r>
      <w:r>
        <w:rPr/>
        <w:t> Raw private school enrolment across Indian States/UTs exhibits extreme positive skewness (+5.250+5.250) and leptokurtosis (+37.026+37.026). Mean (555,685.35555,685.35) overestimates typical scale by 434%434% relative to Median (127,931.50127,931.50), proving that non-parametric statistics (Median, IQR) must be mandated for educational policy planning.</w:t>
      </w:r>
    </w:p>
    <w:p>
      <w:pPr>
        <w:pStyle w:val="BodyText"/>
        <w:numPr>
          <w:ilvl w:val="0"/>
          <w:numId w:val="10"/>
        </w:numPr>
        <w:tabs>
          <w:tab w:val="clear" w:pos="709"/>
          <w:tab w:val="left" w:pos="709" w:leader="none"/>
        </w:tabs>
        <w:bidi w:val="0"/>
        <w:spacing w:before="0" w:after="0"/>
        <w:ind w:hanging="283" w:start="709" w:end="0"/>
        <w:jc w:val="start"/>
        <w:rPr/>
      </w:pPr>
      <w:r>
        <w:rPr>
          <w:rStyle w:val="Strong"/>
        </w:rPr>
        <w:t>Quantified Under-Enrolment Risk:</w:t>
      </w:r>
      <w:r>
        <w:rPr/>
        <w:t> Log-Normal probability modeling (μ=11.6112,σ=2.1377μ=11.6112,σ=2.1377) establishes a 22.42%22.42% probability (P(X≤21,822)P(X≤21,822)) of under-enrolment risk in small states and micro-grade segments, highlighting market failure in low-density geographies.</w:t>
      </w:r>
    </w:p>
    <w:p>
      <w:pPr>
        <w:pStyle w:val="BodyText"/>
        <w:numPr>
          <w:ilvl w:val="0"/>
          <w:numId w:val="10"/>
        </w:numPr>
        <w:tabs>
          <w:tab w:val="clear" w:pos="709"/>
          <w:tab w:val="left" w:pos="709" w:leader="none"/>
        </w:tabs>
        <w:bidi w:val="0"/>
        <w:spacing w:before="0" w:after="0"/>
        <w:ind w:hanging="283" w:start="709" w:end="0"/>
        <w:jc w:val="start"/>
        <w:rPr/>
      </w:pPr>
      <w:r>
        <w:rPr>
          <w:rStyle w:val="Strong"/>
        </w:rPr>
        <w:t>Unit Scale Elasticity:</w:t>
      </w:r>
      <w:r>
        <w:rPr/>
        <w:t> Econometric regression proves that private enrolment scales near-perfectly with state demographic size (β1=+0.9991,p&lt;0.001β1​=+0.9991,p&lt;0.001).</w:t>
      </w:r>
    </w:p>
    <w:p>
      <w:pPr>
        <w:pStyle w:val="BodyText"/>
        <w:numPr>
          <w:ilvl w:val="0"/>
          <w:numId w:val="10"/>
        </w:numPr>
        <w:tabs>
          <w:tab w:val="clear" w:pos="709"/>
          <w:tab w:val="left" w:pos="709" w:leader="none"/>
        </w:tabs>
        <w:bidi w:val="0"/>
        <w:spacing w:before="0" w:after="0"/>
        <w:ind w:hanging="283" w:start="709" w:end="0"/>
        <w:jc w:val="start"/>
        <w:rPr/>
      </w:pPr>
      <w:r>
        <w:rPr>
          <w:rStyle w:val="Strong"/>
        </w:rPr>
        <w:t>Severe Gender Penalty:</w:t>
      </w:r>
      <w:r>
        <w:rPr/>
        <w:t> Female students experience a </w:t>
      </w:r>
      <w:r>
        <w:rPr>
          <w:rStyle w:val="Strong"/>
        </w:rPr>
        <w:t>16.98% enrolment deficit</w:t>
      </w:r>
      <w:r>
        <w:rPr/>
        <w:t> in private unaided schools (β2=−0.1861,p&lt;0.001β2​=−0.1861,p&lt;0.001), reflecting deep-seated gender discrimination in private educational investments.</w:t>
      </w:r>
    </w:p>
    <w:p>
      <w:pPr>
        <w:pStyle w:val="BodyText"/>
        <w:numPr>
          <w:ilvl w:val="0"/>
          <w:numId w:val="10"/>
        </w:numPr>
        <w:tabs>
          <w:tab w:val="clear" w:pos="709"/>
          <w:tab w:val="left" w:pos="709" w:leader="none"/>
        </w:tabs>
        <w:bidi w:val="0"/>
        <w:ind w:hanging="283" w:start="709" w:end="0"/>
        <w:jc w:val="start"/>
        <w:rPr/>
      </w:pPr>
      <w:r>
        <w:rPr>
          <w:rStyle w:val="Strong"/>
        </w:rPr>
        <w:t>Upper-Secondary Attrition:</w:t>
      </w:r>
      <w:r>
        <w:rPr/>
        <w:t> Private school participation declines by </w:t>
      </w:r>
      <w:r>
        <w:rPr>
          <w:rStyle w:val="Strong"/>
        </w:rPr>
        <w:t>81.34% in Secondary</w:t>
      </w:r>
      <w:r>
        <w:rPr/>
        <w:t> and </w:t>
      </w:r>
      <w:r>
        <w:rPr>
          <w:rStyle w:val="Strong"/>
        </w:rPr>
        <w:t>86.18% in Higher Secondary</w:t>
      </w:r>
      <w:r>
        <w:rPr/>
        <w:t> grades relative to primary baselines.</w:t>
      </w:r>
    </w:p>
    <w:p>
      <w:pPr>
        <w:pStyle w:val="PreformattedText"/>
        <w:bidi w:val="0"/>
        <w:ind w:hanging="0" w:start="0" w:end="0"/>
        <w:jc w:val="start"/>
        <w:rPr/>
      </w:pPr>
      <w:r>
        <w:rPr/>
        <w:t xml:space="preserve">       </w:t>
      </w:r>
      <w:r>
        <w:rPr/>
        <w:t>SUMMARY OF CORE EMPIRICAL FINDINGS &amp; METRICS</w:t>
      </w:r>
    </w:p>
    <w:p>
      <w:pPr>
        <w:pStyle w:val="PreformattedText"/>
        <w:bidi w:val="0"/>
        <w:ind w:hanging="0" w:start="0" w:end="0"/>
        <w:jc w:val="start"/>
        <w:rPr/>
      </w:pPr>
      <w:r>
        <w:rPr/>
        <w:t>+----------------------------------------------------------------+</w:t>
      </w:r>
    </w:p>
    <w:p>
      <w:pPr>
        <w:pStyle w:val="PreformattedText"/>
        <w:bidi w:val="0"/>
        <w:ind w:hanging="0" w:start="0" w:end="0"/>
        <w:jc w:val="start"/>
        <w:rPr/>
      </w:pPr>
      <w:r>
        <w:rPr/>
        <w:t>| Metric / Parameter     | Value      | Analytical Significance   |</w:t>
      </w:r>
    </w:p>
    <w:p>
      <w:pPr>
        <w:pStyle w:val="PreformattedText"/>
        <w:bidi w:val="0"/>
        <w:ind w:hanging="0" w:start="0" w:end="0"/>
        <w:jc w:val="start"/>
        <w:rPr/>
      </w:pPr>
      <w:r>
        <w:rPr/>
        <w:t>+------------------------+------------+--------------------------+</w:t>
      </w:r>
    </w:p>
    <w:p>
      <w:pPr>
        <w:pStyle w:val="PreformattedText"/>
        <w:bidi w:val="0"/>
        <w:ind w:hanging="0" w:start="0" w:end="0"/>
        <w:jc w:val="start"/>
        <w:rPr/>
      </w:pPr>
      <w:r>
        <w:rPr/>
        <w:t>| Skewness (Raw Data)    | +5.250     | Non-Gaussian Heavy Tail  |</w:t>
      </w:r>
    </w:p>
    <w:p>
      <w:pPr>
        <w:pStyle w:val="PreformattedText"/>
        <w:bidi w:val="0"/>
        <w:ind w:hanging="0" w:start="0" w:end="0"/>
        <w:jc w:val="start"/>
        <w:rPr/>
      </w:pPr>
      <w:r>
        <w:rPr/>
        <w:t>| Raw Mean vs. Median    | 4.34x      | Mean distorted by UP/MH  |</w:t>
      </w:r>
    </w:p>
    <w:p>
      <w:pPr>
        <w:pStyle w:val="PreformattedText"/>
        <w:bidi w:val="0"/>
        <w:ind w:hanging="0" w:start="0" w:end="0"/>
        <w:jc w:val="start"/>
        <w:rPr/>
      </w:pPr>
      <w:r>
        <w:rPr/>
        <w:t>| Risk P(X &lt;= 21,822)    | 22.42%     | Infrastructure risk zone |</w:t>
      </w:r>
    </w:p>
    <w:p>
      <w:pPr>
        <w:pStyle w:val="PreformattedText"/>
        <w:bidi w:val="0"/>
        <w:ind w:hanging="0" w:start="0" w:end="0"/>
        <w:jc w:val="start"/>
        <w:rPr/>
      </w:pPr>
      <w:r>
        <w:rPr/>
        <w:t>| State Scale Elasticity | +0.9991    | Proportional scale (1:1) |</w:t>
      </w:r>
    </w:p>
    <w:p>
      <w:pPr>
        <w:pStyle w:val="PreformattedText"/>
        <w:bidi w:val="0"/>
        <w:ind w:hanging="0" w:start="0" w:end="0"/>
        <w:jc w:val="start"/>
        <w:rPr/>
      </w:pPr>
      <w:r>
        <w:rPr/>
        <w:t>| Female Enrolment Deficit| -16.98%   | Intra-household bias     |</w:t>
      </w:r>
    </w:p>
    <w:p>
      <w:pPr>
        <w:pStyle w:val="PreformattedText"/>
        <w:bidi w:val="0"/>
        <w:ind w:hanging="0" w:start="0" w:end="0"/>
        <w:jc w:val="start"/>
        <w:rPr/>
      </w:pPr>
      <w:r>
        <w:rPr/>
        <w:t>| Secondary Attrition    | -81.34%    | Grade 9-10 contraction   |</w:t>
      </w:r>
    </w:p>
    <w:p>
      <w:pPr>
        <w:pStyle w:val="PreformattedText"/>
        <w:bidi w:val="0"/>
        <w:ind w:hanging="0" w:start="0" w:end="0"/>
        <w:jc w:val="start"/>
        <w:rPr/>
      </w:pPr>
      <w:r>
        <w:rPr/>
        <w:t>| Model R-squared (R²)   | 0.9764     | High explanatory power   |</w:t>
      </w:r>
    </w:p>
    <w:p>
      <w:pPr>
        <w:pStyle w:val="PreformattedText"/>
        <w:bidi w:val="0"/>
        <w:spacing w:before="0" w:after="283"/>
        <w:ind w:hanging="0" w:start="0" w:end="0"/>
        <w:jc w:val="start"/>
        <w:rPr/>
      </w:pPr>
      <w:r>
        <w:rPr/>
        <w:t>+------------------------+------------+--------------------------+</w:t>
      </w:r>
    </w:p>
    <w:p>
      <w:pPr>
        <w:pStyle w:val="Heading3"/>
        <w:bidi w:val="0"/>
        <w:ind w:hanging="0" w:start="0" w:end="0"/>
        <w:jc w:val="start"/>
        <w:rPr/>
      </w:pPr>
      <w:bookmarkStart w:id="26" w:name="user-content-52-strategic-policy-recomme"/>
      <w:bookmarkEnd w:id="26"/>
      <w:r>
        <w:rPr/>
        <w:t>5.2 Strategic Policy Recommendations</w:t>
      </w:r>
    </w:p>
    <w:p>
      <w:pPr>
        <w:pStyle w:val="Heading4"/>
        <w:bidi w:val="0"/>
        <w:ind w:hanging="0" w:start="0" w:end="0"/>
        <w:jc w:val="start"/>
        <w:rPr/>
      </w:pPr>
      <w:bookmarkStart w:id="27" w:name="user-content-policy-recommendation-1-tar"/>
      <w:bookmarkEnd w:id="27"/>
      <w:r>
        <w:rPr/>
        <w:t>Policy Recommendation 1: Targeted Direct Benefit Transfers (DBT) &amp; Vouchers for Female Students</w:t>
      </w:r>
    </w:p>
    <w:p>
      <w:pPr>
        <w:pStyle w:val="BodyText"/>
        <w:bidi w:val="0"/>
        <w:ind w:hanging="0" w:start="0" w:end="0"/>
        <w:jc w:val="start"/>
        <w:rPr/>
      </w:pPr>
      <w:r>
        <w:rPr/>
        <w:t>To counter the </w:t>
      </w:r>
      <w:r>
        <w:rPr>
          <w:rStyle w:val="Strong"/>
        </w:rPr>
        <w:t>16.98% female enrolment penalty</w:t>
      </w:r>
      <w:r>
        <w:rPr/>
        <w:t> in private unaided schools, state governments should introduce conditional education vouchers specifically targeted at female students transitioning from Primary to Upper Primary/Secondary education. Furthermore, strict auditing of Section 12(1)(c) of the Right to Education (RTE) Act—which mandates a 25% quota for economically weaker sections in private schools—must enforce 50% reservation for girl students.</w:t>
      </w:r>
    </w:p>
    <w:p>
      <w:pPr>
        <w:pStyle w:val="Heading4"/>
        <w:bidi w:val="0"/>
        <w:ind w:hanging="0" w:start="0" w:end="0"/>
        <w:jc w:val="start"/>
        <w:rPr/>
      </w:pPr>
      <w:bookmarkStart w:id="28" w:name="user-content-policy-recommendation-2-sca"/>
      <w:bookmarkEnd w:id="28"/>
      <w:r>
        <w:rPr/>
        <w:t>Policy Recommendation 2: Scale-Adjusted Infrastructure Subsidies for Under-Enrolled Regions</w:t>
      </w:r>
    </w:p>
    <w:p>
      <w:pPr>
        <w:pStyle w:val="BodyText"/>
        <w:bidi w:val="0"/>
        <w:ind w:hanging="0" w:start="0" w:end="0"/>
        <w:jc w:val="start"/>
        <w:rPr/>
      </w:pPr>
      <w:r>
        <w:rPr/>
        <w:t>Using our Log-Normal risk model (P(X≤21,822)=0.2242P(X≤21,822)=0.2242), educational planning boards must abandon flat-rate institutional grants. In States/UTs operating within the lower 22.42%22.42% probability tail (e.g., North-Eastern states, Lakshadweep, Ladakh), state governments must provide capital infrastructure subsidies and teacher salary support to prevent private school closures and ensure educational continuity.</w:t>
      </w:r>
    </w:p>
    <w:p>
      <w:pPr>
        <w:pStyle w:val="Heading4"/>
        <w:bidi w:val="0"/>
        <w:ind w:hanging="0" w:start="0" w:end="0"/>
        <w:jc w:val="start"/>
        <w:rPr/>
      </w:pPr>
      <w:bookmarkStart w:id="29" w:name="user-content-policy-recommendation-3-sec"/>
      <w:bookmarkEnd w:id="29"/>
      <w:r>
        <w:rPr/>
        <w:t>Policy Recommendation 3: Secondary Education Public-Private Partnerships (PPP)</w:t>
      </w:r>
    </w:p>
    <w:p>
      <w:pPr>
        <w:pStyle w:val="BodyText"/>
        <w:bidi w:val="0"/>
        <w:ind w:hanging="0" w:start="0" w:end="0"/>
        <w:jc w:val="start"/>
        <w:rPr/>
      </w:pPr>
      <w:r>
        <w:rPr/>
        <w:t>To mitigate the massive </w:t>
      </w:r>
      <w:r>
        <w:rPr>
          <w:rStyle w:val="Strong"/>
        </w:rPr>
        <w:t>81.34% to 86.18% enrolment drop</w:t>
      </w:r>
      <w:r>
        <w:rPr/>
        <w:t> in senior grades, policy makers should institute PPP frameworks. Government subsidies should be provided to high-performing private secondary schools to absorb senior students who otherwise drop out due to escalating tuition fees at the upper secondary level.</w:t>
      </w:r>
    </w:p>
    <w:p>
      <w:pPr>
        <w:pStyle w:val="HorizontalLine"/>
        <w:bidi w:val="0"/>
        <w:jc w:val="start"/>
        <w:rPr/>
      </w:pPr>
      <w:r>
        <w:rPr/>
      </w:r>
    </w:p>
    <w:p>
      <w:pPr>
        <w:pStyle w:val="Heading2"/>
        <w:bidi w:val="0"/>
        <w:ind w:hanging="0" w:start="0" w:end="0"/>
        <w:jc w:val="start"/>
        <w:rPr/>
      </w:pPr>
      <w:bookmarkStart w:id="30" w:name="user-content-references"/>
      <w:bookmarkEnd w:id="30"/>
      <w:r>
        <w:rPr/>
        <w:t>REFERENCES</w:t>
      </w:r>
    </w:p>
    <w:p>
      <w:pPr>
        <w:pStyle w:val="BodyText"/>
        <w:numPr>
          <w:ilvl w:val="0"/>
          <w:numId w:val="11"/>
        </w:numPr>
        <w:tabs>
          <w:tab w:val="clear" w:pos="709"/>
          <w:tab w:val="left" w:pos="709" w:leader="none"/>
        </w:tabs>
        <w:bidi w:val="0"/>
        <w:spacing w:before="0" w:after="0"/>
        <w:ind w:hanging="283" w:start="709" w:end="0"/>
        <w:jc w:val="start"/>
        <w:rPr/>
      </w:pPr>
      <w:r>
        <w:rPr/>
        <w:t>Ministry of Education, Government of India. (2023). </w:t>
      </w:r>
      <w:r>
        <w:rPr>
          <w:rStyle w:val="Emphasis"/>
        </w:rPr>
        <w:t>Unified District Information System for Education Plus (UDISE+) State Reports</w:t>
      </w:r>
      <w:r>
        <w:rPr/>
        <w:t>. Open Government Data Portal (data.gov.in).</w:t>
      </w:r>
    </w:p>
    <w:p>
      <w:pPr>
        <w:pStyle w:val="BodyText"/>
        <w:numPr>
          <w:ilvl w:val="0"/>
          <w:numId w:val="11"/>
        </w:numPr>
        <w:tabs>
          <w:tab w:val="clear" w:pos="709"/>
          <w:tab w:val="left" w:pos="709" w:leader="none"/>
        </w:tabs>
        <w:bidi w:val="0"/>
        <w:spacing w:before="0" w:after="0"/>
        <w:ind w:hanging="283" w:start="709" w:end="0"/>
        <w:jc w:val="start"/>
        <w:rPr/>
      </w:pPr>
      <w:r>
        <w:rPr/>
        <w:t>Kingdon, G. G. (2020). The private school phenomenon in India. </w:t>
      </w:r>
      <w:r>
        <w:rPr>
          <w:rStyle w:val="Emphasis"/>
        </w:rPr>
        <w:t>Oxford Review of Education</w:t>
      </w:r>
      <w:r>
        <w:rPr/>
        <w:t>, 46(1), 31-47.</w:t>
      </w:r>
    </w:p>
    <w:p>
      <w:pPr>
        <w:pStyle w:val="BodyText"/>
        <w:numPr>
          <w:ilvl w:val="0"/>
          <w:numId w:val="11"/>
        </w:numPr>
        <w:tabs>
          <w:tab w:val="clear" w:pos="709"/>
          <w:tab w:val="left" w:pos="709" w:leader="none"/>
        </w:tabs>
        <w:bidi w:val="0"/>
        <w:spacing w:before="0" w:after="0"/>
        <w:ind w:hanging="283" w:start="709" w:end="0"/>
        <w:jc w:val="start"/>
        <w:rPr/>
      </w:pPr>
      <w:r>
        <w:rPr/>
        <w:t>Wooldridge, J. M. (2010). </w:t>
      </w:r>
      <w:r>
        <w:rPr>
          <w:rStyle w:val="Emphasis"/>
        </w:rPr>
        <w:t>Econometric Analysis of Cross Section and Panel Data</w:t>
      </w:r>
      <w:r>
        <w:rPr/>
        <w:t>. MIT Press.</w:t>
      </w:r>
    </w:p>
    <w:p>
      <w:pPr>
        <w:pStyle w:val="BodyText"/>
        <w:numPr>
          <w:ilvl w:val="0"/>
          <w:numId w:val="11"/>
        </w:numPr>
        <w:tabs>
          <w:tab w:val="clear" w:pos="709"/>
          <w:tab w:val="left" w:pos="709" w:leader="none"/>
        </w:tabs>
        <w:bidi w:val="0"/>
        <w:ind w:hanging="283" w:start="709" w:end="0"/>
        <w:jc w:val="start"/>
        <w:rPr/>
      </w:pPr>
      <w:r>
        <w:rPr/>
        <w:t>Central Advisory Board of Education (CABE). (2022). </w:t>
      </w:r>
      <w:r>
        <w:rPr>
          <w:rStyle w:val="Emphasis"/>
        </w:rPr>
        <w:t>National Education Policy 2020: Implementation Roadmap for School Infrastructure</w:t>
      </w:r>
      <w:r>
        <w:rPr/>
        <w:t>. Ministry of Education, New Delhi.</w:t>
      </w:r>
    </w:p>
    <w:p>
      <w:pPr>
        <w:pStyle w:val="Normal"/>
        <w:bidi w:val="0"/>
        <w:ind w:hanging="0" w:start="0" w:end="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280</TotalTime>
  <Application>LibreOffice/26.2.5.2$Windows_X86_64 LibreOffice_project/cd7284b4cbbfeb507e630c1aac019f4157393acb</Application>
  <AppVersion>15.0000</AppVersion>
  <Pages>11</Pages>
  <Words>2640</Words>
  <Characters>19088</Characters>
  <CharactersWithSpaces>25055</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2026-08-27T20:09:51Z</dcterms:created>
  <dc:creator/>
  <dc:description/>
  <dc:language>en-US</dc:language>
  <cp:lastModifiedBy/>
  <dcterms:modified xsi:type="dcterms:W3CDTF">2026-08-28T01:51:50Z</dcterms:modified>
  <cp:revision>2</cp:revision>
  <dc:subject/>
  <dc:title/>
</cp:coreProperties>
</file>