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left"/>
        <w:rPr>
          <w:rFonts w:ascii="Arial" w:cs="Arial" w:eastAsia="Arial" w:hAnsi="Arial"/>
          <w:b w:val="1"/>
          <w:sz w:val="24"/>
          <w:szCs w:val="24"/>
        </w:rPr>
      </w:pPr>
      <w:r>
        <w:t>Project Design Phase-II</w:t>
      </w:r>
    </w:p>
    <w:p w:rsidR="00000000" w:rsidDel="00000000" w:rsidP="00000000" w:rsidRDefault="00000000" w:rsidRPr="00000000" w14:paraId="00000002">
      <w:pPr>
        <w:spacing w:after="0" w:lineRule="auto"/>
        <w:jc w:val="left"/>
        <w:rPr>
          <w:rFonts w:ascii="Arial" w:cs="Arial" w:eastAsia="Arial" w:hAnsi="Arial"/>
          <w:b w:val="1"/>
          <w:sz w:val="24"/>
          <w:szCs w:val="24"/>
        </w:rPr>
      </w:pPr>
      <w:r>
        <w:t>Data Flow Diagram &amp; User Stories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</w:rPr>
      </w:pPr>
      <w:r>
        <w:rPr>
          <w:rtl w:val="0"/>
        </w:rPr>
      </w:r>
    </w:p>
    <w:tbl>
      <w:tblPr>
        <w:tblStyle w:val="TableGrid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after="0" w:before="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18"/>
                <w:rtl w:val="0"/>
              </w:rPr>
              <w:t xml:space="preserve">Date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after="0" w:before="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18"/>
                <w:rtl w:val="0"/>
              </w:rPr>
              <w:t xml:space="preserve">Team ID</w:t>
            </w:r>
          </w:p>
        </w:tc>
        <w:tc>
          <w:tcPr>
            <w:vAlign w:val="center"/>
          </w:tcPr>
          <w:p>
            <w:r>
              <w:t>SWTID-2026-9684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after="0" w:before="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18"/>
                <w:rtl w:val="0"/>
              </w:rPr>
              <w:t xml:space="preserve">Project Name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Implement Client Script &amp; UI Policy (Incident)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after="0" w:before="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18"/>
                <w:rtl w:val="0"/>
              </w:rPr>
              <w:t xml:space="preserve">Maximum Marks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rFonts w:ascii="Arial" w:cs="Arial" w:eastAsia="Arial" w:hAnsi="Arial"/>
          <w:b w:val="1"/>
        </w:rPr>
      </w:pPr>
      <w:r>
        <w:rPr>
          <w:rFonts w:ascii="Arial" w:cs="Arial" w:eastAsia="Arial" w:hAnsi="Arial"/>
          <w:b w:val="1"/>
          <w:rtl w:val="0"/>
        </w:rPr>
        <w:t xml:space="preserve">Data Flow Diagrams:</w:t>
      </w:r>
    </w:p>
    <w:p w:rsidR="00000000" w:rsidDel="00000000" w:rsidP="00000000" w:rsidRDefault="00000000" w:rsidRPr="00000000" w14:paraId="0000000E">
      <w:pPr>
        <w:jc w:val="left"/>
        <w:rPr>
          <w:rFonts w:ascii="Arial" w:cs="Arial" w:eastAsia="Arial" w:hAnsi="Arial"/>
        </w:rPr>
      </w:pPr>
      <w:r>
        <w:t>A Data Flow Diagram (DFD) represents how Incident data moves through the ServiceNow form, UI Policy controls, Client Scripts, and the Incident record.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</w:rPr>
      </w:pPr>
      <w:r>
        <w:rPr>
          <w:rtl w:val="0"/>
        </w:rPr>
      </w:r>
      <w: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4699000</wp:posOffset>
                </wp:positionH>
                <wp:positionV relativeFrom="paragraph">
                  <wp:posOffset>215900</wp:posOffset>
                </wp:positionV>
                <wp:extent cx="34925" cy="2828925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33300" y="2370300"/>
                          <a:ext cx="25400" cy="28194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4699000</wp:posOffset>
                </wp:positionH>
                <wp:positionV relativeFrom="paragraph">
                  <wp:posOffset>215900</wp:posOffset>
                </wp:positionV>
                <wp:extent cx="34925" cy="2828925"/>
                <wp:effectExtent b="0" l="0" r="0" t="0"/>
                <wp:wrapNone/>
                <wp:docPr id="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925" cy="2828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4813300</wp:posOffset>
                </wp:positionH>
                <wp:positionV relativeFrom="paragraph">
                  <wp:posOffset>0</wp:posOffset>
                </wp:positionV>
                <wp:extent cx="3603625" cy="371475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548950" y="3599025"/>
                          <a:ext cx="359410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Example: DFD Level 0 (Industry Standard)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4813300</wp:posOffset>
                </wp:positionH>
                <wp:positionV relativeFrom="paragraph">
                  <wp:posOffset>0</wp:posOffset>
                </wp:positionV>
                <wp:extent cx="3603625" cy="371475"/>
                <wp:effectExtent b="0" l="0" r="0" t="0"/>
                <wp:wrapNone/>
                <wp:docPr id="9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3625" cy="3714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jc w:val="left"/>
        <w:rPr>
          <w:rFonts w:ascii="Arial" w:cs="Arial" w:eastAsia="Arial" w:hAnsi="Arial"/>
          <w:b w:val="1"/>
        </w:rPr>
      </w:pPr>
      <w:r>
        <w:t>DFD for the proposed solution:</w:t>
        <w:br/>
        <w:drawing>
          <wp:inline>
            <wp:extent cx="6035040" cy="323697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cident_df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36976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</w:rPr>
      </w:pPr>
      <w:r>
        <w:rPr>
          <w:rFonts w:ascii="Arial" w:cs="Arial" w:eastAsia="Arial" w:hAnsi="Arial"/>
          <w:b w:val="1"/>
        </w:rPr>
        <w:drawing>
          <wp:inline distB="0" distT="0" distL="0" distR="0">
            <wp:extent cx="2973897" cy="2581240"/>
            <wp:effectExtent b="0" l="0" r="0" t="0"/>
            <wp:docPr descr="Diagram, timeline  Description automatically generated" id="10" name="image2.png"/>
            <a:graphic>
              <a:graphicData uri="http://schemas.openxmlformats.org/drawingml/2006/picture">
                <pic:pic>
                  <pic:nvPicPr>
                    <pic:cNvPr descr="Diagram, timeline  Description automatically generated"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3897" cy="2581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rFonts w:ascii="Arial" w:cs="Arial" w:eastAsia="Arial" w:hAnsi="Arial"/>
          <w:b w:val="1"/>
        </w:rPr>
      </w:pPr>
      <w:r>
        <w:rPr>
          <w:rFonts w:ascii="Arial" w:cs="Arial" w:eastAsia="Arial" w:hAnsi="Arial"/>
          <w:b w:val="1"/>
          <w:rtl w:val="0"/>
        </w:rPr>
        <w:t xml:space="preserve">User Stories</w:t>
      </w:r>
    </w:p>
    <w:p w:rsidR="00000000" w:rsidDel="00000000" w:rsidP="00000000" w:rsidRDefault="00000000" w:rsidRPr="00000000" w14:paraId="00000014">
      <w:pPr>
        <w:jc w:val="left"/>
        <w:rPr>
          <w:rFonts w:ascii="Arial" w:cs="Arial" w:eastAsia="Arial" w:hAnsi="Arial"/>
        </w:rPr>
      </w:pPr>
      <w:r>
        <w:t>Use the below template to list the user stories for the ServiceNow Incident solution.</w:t>
      </w:r>
    </w:p>
    <w:tbl>
      <w:tblPr>
        <w:tblStyle w:val="TableGrid"/>
        <w:tblW w:w="14498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67"/>
        <w:gridCol w:w="1850"/>
        <w:gridCol w:w="1309"/>
        <w:gridCol w:w="4328"/>
        <w:gridCol w:w="2596"/>
        <w:gridCol w:w="1374"/>
        <w:gridCol w:w="1374"/>
        <w:tblGridChange w:id="0">
          <w:tblGrid>
            <w:gridCol w:w="1667"/>
            <w:gridCol w:w="1850"/>
            <w:gridCol w:w="1309"/>
            <w:gridCol w:w="4328"/>
            <w:gridCol w:w="2596"/>
            <w:gridCol w:w="1374"/>
            <w:gridCol w:w="1374"/>
          </w:tblGrid>
        </w:tblGridChange>
      </w:tblGrid>
      <w:tr>
        <w:trPr>
          <w:cantSplit w:val="0"/>
          <w:trHeight w:val="275" w:hRule="atLeast"/>
          <w:tblHeader w:val="1"/>
        </w:trPr>
        <w:tc>
          <w:tcPr/>
          <w:p w:rsidR="00000000" w:rsidDel="00000000" w:rsidP="00000000" w:rsidRDefault="00000000" w:rsidRPr="00000000" w14:paraId="00000015">
            <w:pPr>
              <w:spacing w:after="0" w:before="0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sz w:val="18"/>
                <w:szCs w:val="20"/>
                <w:rtl w:val="0"/>
              </w:rPr>
              <w:t xml:space="preserve">User Type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0" w:before="0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sz w:val="18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0" w:before="0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sz w:val="18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0" w:before="0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sz w:val="18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0" w:before="0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sz w:val="18"/>
                <w:szCs w:val="20"/>
                <w:rtl w:val="0"/>
              </w:rPr>
              <w:t xml:space="preserve">Acceptance criteria 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0" w:before="0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sz w:val="18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0" w:before="0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>
              <w:rPr>
                <w:rFonts w:ascii="Arial" w:cs="Arial" w:eastAsia="Arial" w:hAnsi="Arial"/>
                <w:b w:val="1"/>
                <w:sz w:val="18"/>
                <w:szCs w:val="20"/>
                <w:rtl w:val="0"/>
              </w:rPr>
              <w:t xml:space="preserve">Release</w:t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ServiceNow User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High Impact Control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USN-1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As a ServiceNow user, I can select Impact as High so that the High Impact Control UI Policy is triggered.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Impact = High activates the configured UI Policy.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High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Release-1</w:t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ServiceNow User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Mandatory Assignment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USN-2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As a ServiceNow user, I must enter Assigned To for a High impact Incident.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Assigned To becomes mandatory when Impact = High.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High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Release-1</w:t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ServiceNow User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Urgency Automation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USN-3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As a ServiceNow user, I want Urgency to be automatically set to High when Impact becomes High.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Urgency is set to High and an information message is displayed.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High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Release-1</w:t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ServiceNow User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Urgency Control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USN-4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As a ServiceNow user, I cannot manually change Urgency while the High Impact UI Policy is active.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Urgency becomes read-only for High impact.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Medium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Release-1</w:t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ServiceNow User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Save Validation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USN-5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As a ServiceNow user, I cannot save a High impact Incident when Assigned To is empty.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Save is blocked and an error is displayed for Assigned To.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High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Release-1</w:t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ServiceNow User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List Edit Control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USN-6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As a ServiceNow user, I cannot change State directly using Incident list editing.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An alert appears and the State value remains unchanged.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High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Release-1</w:t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ServiceNow User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Form Update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USN-7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As a ServiceNow user, I can change State from the Incident form.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The State change is saved successfully through the form.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Medium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Release-1</w:t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ServiceNow Admin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Reverse Condition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USN-8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As an administrator, I can verify that controls are reversed when Impact changes from High to Medium.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Assigned To is no longer mandatory and Urgency becomes editable.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Medium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Release-1</w:t>
            </w:r>
          </w:p>
        </w:tc>
      </w:tr>
      <w:tr>
        <w:trPr>
          <w:cantSplit w:val="0"/>
          <w:trHeight w:val="388" w:hRule="atLeast"/>
          <w:tblHeader w:val="0"/>
        </w:trPr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ServiceNow Admin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Testing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USN-9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As an administrator, I can test all configured UI Policy and Client Script behaviors.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Mandatory, successful save, reverse condition, list blocking, and form update tests pass.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High</w:t>
            </w:r>
          </w:p>
        </w:tc>
        <w:tc>
          <w:tcPr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Release-1</w:t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spacing w:after="0" w:before="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sz w:val="18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0" w:before="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sz w:val="18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0" w:before="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sz w:val="18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0" w:before="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sz w:val="18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0" w:before="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sz w:val="18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0" w:before="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sz w:val="18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0" w:before="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sz w:val="18"/>
                <w:rtl w:val="0"/>
              </w:rPr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spacing w:after="0" w:before="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sz w:val="18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0" w:before="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sz w:val="18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0" w:before="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sz w:val="18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0" w:before="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sz w:val="18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0" w:before="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sz w:val="18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0" w:before="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sz w:val="18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0" w:before="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sz w:val="18"/>
                <w:rtl w:val="0"/>
              </w:rPr>
            </w:r>
          </w:p>
        </w:tc>
      </w:tr>
      <w:tr>
        <w:trPr>
          <w:cantSplit w:val="0"/>
          <w:trHeight w:val="404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after="0" w:before="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sz w:val="18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0" w:before="0"/>
              <w:rPr>
                <w:rFonts w:ascii="Arial" w:cs="Arial" w:eastAsia="Arial" w:hAnsi="Arial"/>
                <w:color w:val="222222"/>
                <w:sz w:val="20"/>
                <w:szCs w:val="20"/>
              </w:rPr>
            </w:pPr>
            <w:r>
              <w:rPr>
                <w:sz w:val="18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0" w:before="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sz w:val="18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0" w:before="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sz w:val="18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0" w:before="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sz w:val="18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0" w:before="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sz w:val="18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0" w:before="0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sz w:val="18"/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rPr>
          <w:rFonts w:ascii="Arial" w:cs="Arial" w:eastAsia="Arial" w:hAnsi="Arial"/>
        </w:rPr>
      </w:pPr>
      <w:r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9" Type="http://schemas.openxmlformats.org/officeDocument/2006/relationships/hyperlink" Target="https://developer.ibm.com/patterns/visualize-unstructured-text/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4.png"/><Relationship Id="rId1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