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Design Phase</w:t>
      </w:r>
    </w:p>
    <w:p>
      <w:pPr>
        <w:jc w:val="center"/>
      </w:pPr>
      <w:r>
        <w:rPr>
          <w:b/>
          <w:sz w:val="28"/>
        </w:rPr>
        <w:t>Proposed Solution Template</w:t>
      </w:r>
    </w:p>
    <w:tbl>
      <w:tblPr>
        <w:tblW w:type="auto" w:w="0"/>
        <w:jc w:val="center"/>
        <w:tblLook w:firstColumn="1" w:firstRow="1" w:lastColumn="0" w:lastRow="0" w:noHBand="0" w:noVBand="1" w:val="04A0"/>
      </w:tblPr>
      <w:tblGrid>
        <w:gridCol w:w="4320"/>
        <w:gridCol w:w="4320"/>
      </w:tblGrid>
      <w:tr>
        <w:tc>
          <w:tcPr>
            <w:tcW w:type="dxa" w:w="4320"/>
            <w:vAlign w:val="center"/>
          </w:tcPr>
          <w:p>
            <w:r/>
            <w:r>
              <w:rPr>
                <w:b/>
                <w:sz w:val="20"/>
              </w:rPr>
              <w:t>Date</w:t>
            </w:r>
          </w:p>
        </w:tc>
        <w:tc>
          <w:tcPr>
            <w:tcW w:type="dxa" w:w="4320"/>
            <w:vAlign w:val="center"/>
          </w:tcPr>
          <w:p>
            <w:r/>
            <w:r>
              <w:rPr>
                <w:b w:val="0"/>
                <w:sz w:val="20"/>
              </w:rPr>
              <w:t>3 October 2026</w:t>
            </w:r>
          </w:p>
        </w:tc>
      </w:tr>
      <w:tr>
        <w:tc>
          <w:tcPr>
            <w:tcW w:type="dxa" w:w="4320"/>
            <w:vAlign w:val="center"/>
          </w:tcPr>
          <w:p>
            <w:r/>
            <w:r>
              <w:rPr>
                <w:b/>
                <w:sz w:val="20"/>
              </w:rPr>
              <w:t>Team ID</w:t>
            </w:r>
          </w:p>
        </w:tc>
        <w:tc>
          <w:tcPr>
            <w:tcW w:type="dxa" w:w="4320"/>
            <w:vAlign w:val="center"/>
          </w:tcPr>
          <w:p>
            <w:r>
              <w:t>SWTID-2026-9684</w:t>
            </w:r>
          </w:p>
        </w:tc>
      </w:tr>
      <w:tr>
        <w:tc>
          <w:tcPr>
            <w:tcW w:type="dxa" w:w="4320"/>
            <w:vAlign w:val="center"/>
          </w:tcPr>
          <w:p>
            <w:r/>
            <w:r>
              <w:rPr>
                <w:b/>
                <w:sz w:val="20"/>
              </w:rPr>
              <w:t>Project Name</w:t>
            </w:r>
          </w:p>
        </w:tc>
        <w:tc>
          <w:tcPr>
            <w:tcW w:type="dxa" w:w="4320"/>
            <w:vAlign w:val="center"/>
          </w:tcPr>
          <w:p>
            <w:r/>
            <w:r>
              <w:rPr>
                <w:b w:val="0"/>
                <w:sz w:val="20"/>
              </w:rPr>
              <w:t>Implement Client Script &amp; UI Policy (Incident)</w:t>
            </w:r>
          </w:p>
        </w:tc>
      </w:tr>
      <w:tr>
        <w:tc>
          <w:tcPr>
            <w:tcW w:type="dxa" w:w="4320"/>
            <w:vAlign w:val="center"/>
          </w:tcPr>
          <w:p>
            <w:r/>
            <w:r>
              <w:rPr>
                <w:b/>
                <w:sz w:val="20"/>
              </w:rPr>
              <w:t>Maximum Marks</w:t>
            </w:r>
          </w:p>
        </w:tc>
        <w:tc>
          <w:tcPr>
            <w:tcW w:type="dxa" w:w="4320"/>
            <w:vAlign w:val="center"/>
          </w:tcPr>
          <w:p>
            <w:r/>
            <w:r>
              <w:rPr>
                <w:b w:val="0"/>
                <w:sz w:val="20"/>
              </w:rPr>
              <w:t>2 Marks</w:t>
            </w:r>
          </w:p>
        </w:tc>
      </w:tr>
    </w:tbl>
    <w:p/>
    <w:p>
      <w:r>
        <w:rPr>
          <w:b/>
        </w:rPr>
        <w:t>Proposed Solution Template:</w:t>
      </w:r>
    </w:p>
    <w:p>
      <w:r>
        <w:t>Project team shall fill the following information in the proposed solution template.</w:t>
      </w:r>
    </w:p>
    <w:tbl>
      <w:tblPr>
        <w:tblW w:type="auto" w:w="0"/>
        <w:jc w:val="center"/>
        <w:tblLook w:firstColumn="1" w:firstRow="1" w:lastColumn="0" w:lastRow="0" w:noHBand="0" w:noVBand="1" w:val="04A0"/>
      </w:tblPr>
      <w:tblGrid>
        <w:gridCol w:w="2880"/>
        <w:gridCol w:w="2880"/>
        <w:gridCol w:w="2880"/>
      </w:tblGrid>
      <w:tr>
        <w:tc>
          <w:tcPr>
            <w:tcW w:type="dxa" w:w="2880"/>
            <w:vAlign w:val="center"/>
            <w:shd w:fill="D9EAF7"/>
          </w:tcPr>
          <w:p>
            <w:r/>
            <w:r>
              <w:rPr>
                <w:b/>
                <w:sz w:val="20"/>
              </w:rPr>
              <w:t>S.No.</w:t>
            </w:r>
          </w:p>
        </w:tc>
        <w:tc>
          <w:tcPr>
            <w:tcW w:type="dxa" w:w="2880"/>
            <w:vAlign w:val="center"/>
            <w:shd w:fill="D9EAF7"/>
          </w:tcPr>
          <w:p>
            <w:r/>
            <w:r>
              <w:rPr>
                <w:b/>
                <w:sz w:val="20"/>
              </w:rPr>
              <w:t>Parameter</w:t>
            </w:r>
          </w:p>
        </w:tc>
        <w:tc>
          <w:tcPr>
            <w:tcW w:type="dxa" w:w="2880"/>
            <w:vAlign w:val="center"/>
            <w:shd w:fill="D9EAF7"/>
          </w:tcPr>
          <w:p>
            <w:r/>
            <w:r>
              <w:rPr>
                <w:b/>
                <w:sz w:val="20"/>
              </w:rPr>
              <w:t>Description</w:t>
            </w:r>
          </w:p>
        </w:tc>
      </w:tr>
      <w:tr>
        <w:tc>
          <w:tcPr>
            <w:tcW w:type="dxa" w:w="2880"/>
            <w:vAlign w:val="center"/>
          </w:tcPr>
          <w:p>
            <w:r/>
            <w:r>
              <w:rPr>
                <w:b w:val="0"/>
                <w:sz w:val="20"/>
              </w:rPr>
              <w:t>1</w:t>
            </w:r>
          </w:p>
        </w:tc>
        <w:tc>
          <w:tcPr>
            <w:tcW w:type="dxa" w:w="2880"/>
            <w:vAlign w:val="center"/>
          </w:tcPr>
          <w:p>
            <w:r/>
            <w:r>
              <w:rPr>
                <w:b/>
                <w:sz w:val="20"/>
              </w:rPr>
              <w:t>Problem Statement (Problem to be solved)</w:t>
            </w:r>
          </w:p>
        </w:tc>
        <w:tc>
          <w:tcPr>
            <w:tcW w:type="dxa" w:w="2880"/>
            <w:vAlign w:val="center"/>
          </w:tcPr>
          <w:p>
            <w:r/>
            <w:r>
              <w:rPr>
                <w:b w:val="0"/>
                <w:sz w:val="20"/>
              </w:rPr>
              <w:t>Incident records can be incomplete, inconsistent, or incorrectly submitted when users rely only on manual checks. This can affect data quality, reporting, SLA compliance, and service quality.</w:t>
            </w:r>
          </w:p>
        </w:tc>
      </w:tr>
      <w:tr>
        <w:tc>
          <w:tcPr>
            <w:tcW w:type="dxa" w:w="2880"/>
            <w:vAlign w:val="center"/>
          </w:tcPr>
          <w:p>
            <w:r/>
            <w:r>
              <w:rPr>
                <w:b w:val="0"/>
                <w:sz w:val="20"/>
              </w:rPr>
              <w:t>2</w:t>
            </w:r>
          </w:p>
        </w:tc>
        <w:tc>
          <w:tcPr>
            <w:tcW w:type="dxa" w:w="2880"/>
            <w:vAlign w:val="center"/>
          </w:tcPr>
          <w:p>
            <w:r/>
            <w:r>
              <w:rPr>
                <w:b/>
                <w:sz w:val="20"/>
              </w:rPr>
              <w:t>Idea / Solution description</w:t>
            </w:r>
          </w:p>
        </w:tc>
        <w:tc>
          <w:tcPr>
            <w:tcW w:type="dxa" w:w="2880"/>
            <w:vAlign w:val="center"/>
          </w:tcPr>
          <w:p>
            <w:r/>
            <w:r>
              <w:rPr>
                <w:b w:val="0"/>
                <w:sz w:val="20"/>
              </w:rPr>
              <w:t>Use ServiceNow UI Policies and Client Scripts on the Incident table to control field behavior and validate data. For High Impact incidents, Assigned To becomes mandatory, Urgency is controlled and auto-set to High, save is blocked when Assigned To is missing, and direct State changes through list editing are prevented.</w:t>
            </w:r>
          </w:p>
        </w:tc>
      </w:tr>
      <w:tr>
        <w:tc>
          <w:tcPr>
            <w:tcW w:type="dxa" w:w="2880"/>
            <w:vAlign w:val="center"/>
          </w:tcPr>
          <w:p>
            <w:r/>
            <w:r>
              <w:rPr>
                <w:b w:val="0"/>
                <w:sz w:val="20"/>
              </w:rPr>
              <w:t>3</w:t>
            </w:r>
          </w:p>
        </w:tc>
        <w:tc>
          <w:tcPr>
            <w:tcW w:type="dxa" w:w="2880"/>
            <w:vAlign w:val="center"/>
          </w:tcPr>
          <w:p>
            <w:r/>
            <w:r>
              <w:rPr>
                <w:b/>
                <w:sz w:val="20"/>
              </w:rPr>
              <w:t>Novelty / Uniqueness</w:t>
            </w:r>
          </w:p>
        </w:tc>
        <w:tc>
          <w:tcPr>
            <w:tcW w:type="dxa" w:w="2880"/>
            <w:vAlign w:val="center"/>
          </w:tcPr>
          <w:p>
            <w:r/>
            <w:r>
              <w:rPr>
                <w:b w:val="0"/>
                <w:sz w:val="20"/>
              </w:rPr>
              <w:t>The solution combines UI Policy actions with onChange, onSubmit, and onCellEdit Client Scripts to provide dynamic form control, automatic field updates, save-time validation, and list-edit protection within the Incident form.</w:t>
            </w:r>
          </w:p>
        </w:tc>
      </w:tr>
      <w:tr>
        <w:tc>
          <w:tcPr>
            <w:tcW w:type="dxa" w:w="2880"/>
            <w:vAlign w:val="center"/>
          </w:tcPr>
          <w:p>
            <w:r/>
            <w:r>
              <w:rPr>
                <w:b w:val="0"/>
                <w:sz w:val="20"/>
              </w:rPr>
              <w:t>4</w:t>
            </w:r>
          </w:p>
        </w:tc>
        <w:tc>
          <w:tcPr>
            <w:tcW w:type="dxa" w:w="2880"/>
            <w:vAlign w:val="center"/>
          </w:tcPr>
          <w:p>
            <w:r/>
            <w:r>
              <w:rPr>
                <w:b/>
                <w:sz w:val="20"/>
              </w:rPr>
              <w:t>Social Impact / Customer Satisfaction</w:t>
            </w:r>
          </w:p>
        </w:tc>
        <w:tc>
          <w:tcPr>
            <w:tcW w:type="dxa" w:w="2880"/>
            <w:vAlign w:val="center"/>
          </w:tcPr>
          <w:p>
            <w:r/>
            <w:r>
              <w:rPr>
                <w:b w:val="0"/>
                <w:sz w:val="20"/>
              </w:rPr>
              <w:t>The implementation supports consistent Incident data entry and reduces incorrect submissions. It can improve the reliability of Incident handling and make the user interaction more controlled and predictable.</w:t>
            </w:r>
          </w:p>
        </w:tc>
      </w:tr>
      <w:tr>
        <w:tc>
          <w:tcPr>
            <w:tcW w:type="dxa" w:w="2880"/>
            <w:vAlign w:val="center"/>
          </w:tcPr>
          <w:p>
            <w:r/>
            <w:r>
              <w:rPr>
                <w:b w:val="0"/>
                <w:sz w:val="20"/>
              </w:rPr>
              <w:t>5</w:t>
            </w:r>
          </w:p>
        </w:tc>
        <w:tc>
          <w:tcPr>
            <w:tcW w:type="dxa" w:w="2880"/>
            <w:vAlign w:val="center"/>
          </w:tcPr>
          <w:p>
            <w:r/>
            <w:r>
              <w:rPr>
                <w:b/>
                <w:sz w:val="20"/>
              </w:rPr>
              <w:t>Business Model (Revenue Model)</w:t>
            </w:r>
          </w:p>
        </w:tc>
        <w:tc>
          <w:tcPr>
            <w:tcW w:type="dxa" w:w="2880"/>
            <w:vAlign w:val="center"/>
          </w:tcPr>
          <w:p>
            <w:r/>
            <w:r>
              <w:rPr>
                <w:b w:val="0"/>
                <w:sz w:val="20"/>
              </w:rPr>
              <w:t>This micro project is a ServiceNow configuration and validation solution. No direct revenue model is defined in the project; its value is operational through improved data quality and process control.</w:t>
            </w:r>
          </w:p>
        </w:tc>
      </w:tr>
      <w:tr>
        <w:tc>
          <w:tcPr>
            <w:tcW w:type="dxa" w:w="2880"/>
            <w:vAlign w:val="center"/>
          </w:tcPr>
          <w:p>
            <w:r/>
            <w:r>
              <w:rPr>
                <w:b w:val="0"/>
                <w:sz w:val="20"/>
              </w:rPr>
              <w:t>6</w:t>
            </w:r>
          </w:p>
        </w:tc>
        <w:tc>
          <w:tcPr>
            <w:tcW w:type="dxa" w:w="2880"/>
            <w:vAlign w:val="center"/>
          </w:tcPr>
          <w:p>
            <w:r/>
            <w:r>
              <w:rPr>
                <w:b/>
                <w:sz w:val="20"/>
              </w:rPr>
              <w:t>Scalability of the Solution</w:t>
            </w:r>
          </w:p>
        </w:tc>
        <w:tc>
          <w:tcPr>
            <w:tcW w:type="dxa" w:w="2880"/>
            <w:vAlign w:val="center"/>
          </w:tcPr>
          <w:p>
            <w:r/>
            <w:r>
              <w:rPr>
                <w:b w:val="0"/>
                <w:sz w:val="20"/>
              </w:rPr>
              <w:t>The same approach can be extended to additional Incident fields, conditions, and validation rules. UI Policies and Client Scripts can be configured for other form behaviors and business requirements as the ServiceNow implementation grows.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