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jc w:val="center"/>
        <w:rPr>
          <w:sz w:val="32"/>
          <w:szCs w:val="32"/>
          <w:vertAlign w:val="baseline"/>
        </w:rPr>
      </w:pPr>
      <w:bookmarkStart w:colFirst="0" w:colLast="0" w:name="_22sh5wtvw2gj" w:id="0"/>
      <w:bookmarkEnd w:id="0"/>
      <w:r w:rsidDel="00000000" w:rsidR="00000000" w:rsidRPr="00000000">
        <w:rPr>
          <w:sz w:val="32"/>
          <w:szCs w:val="32"/>
          <w:vertAlign w:val="baseline"/>
          <w:rtl w:val="0"/>
        </w:rPr>
        <w:t xml:space="preserve">SQL Query Explanations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1 – Return all employees and their departments: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Retrieves all employees along with their employee ID, email address, and department from the **employees** table.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2 – Return employees who have completed all assigned trainings: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employees for whom every assigned training has a status of **Completed**. Employees with any incomplete training are excluded.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3 – Count trainings per employee: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Counts the total number of training records assigned to each employee. A **LEFT JOIN** is used to include employees who have not yet been assigned any training.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4 – Certifications expiring within 30 days: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certifications whose expiry date falls within the next 30 days. This helps identify certifications that require renewal.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5 – Employees with overdue trainings: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employees who still have one or more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have not been completed.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6 – Top 5 employees by completed trainings: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the five employees with the highest number of completed 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ordered from highest to lowest.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