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19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StaffSync</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Empathy Map Canvas:</w:t>
      </w:r>
    </w:p>
    <w:p>
      <w:pPr>
        <w:jc w:val="center"/>
      </w:pPr>
      <w:r>
        <w:drawing>
          <wp:inline>
            <wp:extent cx="5852160" cy="4057498"/>
            <wp:docPr id="1" name="Picture 1"/>
            <wp:cNvGraphicFramePr>
              <a:graphicFrameLocks noChangeAspect="1"/>
            </wp:cNvGraphicFramePr>
            <a:graphic>
              <a:graphicData uri="http://schemas.openxmlformats.org/drawingml/2006/picture">
                <pic:pic>
                  <pic:nvPicPr>
                    <pic:cNvPr id="0" name="staffsync_empathy_map_canvas.png"/>
                    <pic:cNvPicPr/>
                  </pic:nvPicPr>
                  <pic:blipFill>
                    <a:blip r:embed="rId9"/>
                    <a:stretch>
                      <a:fillRect/>
                    </a:stretch>
                  </pic:blipFill>
                  <pic:spPr>
                    <a:xfrm>
                      <a:off x="0" y="0"/>
                      <a:ext cx="5852160" cy="4057498"/>
                    </a:xfrm>
                    <a:prstGeom prst="rect"/>
                  </pic:spPr>
                </pic:pic>
              </a:graphicData>
            </a:graphic>
          </wp:inline>
        </w:drawing>
      </w:r>
    </w:p>
    <w:p w:rsidR="00000000" w:rsidDel="00000000" w:rsidP="00000000" w:rsidRDefault="00000000" w:rsidRPr="00000000" w14:paraId="0000000E">
      <w:pPr>
        <w:spacing w:after="240" w:before="240" w:line="259" w:lineRule="auto"/>
        <w:jc w:val="center"/>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Empathy map for HR managers and employees using StaffSync. The key needs are reliable employee data, clear leave and attendance workflows, quick access to HR policies, and visible request status. StaffSync is designed to reduce repetitive administration while keeping sensitive information access-controlled and important HR decisions with people.</w:t>
      </w:r>
      <w:r w:rsidDel="00000000" w:rsidR="00000000" w:rsidRPr="00000000">
        <w:rPr>
          <w:rFonts w:ascii="Calibri" w:cs="Calibri" w:eastAsia="Calibri" w:hAnsi="Calibri"/>
        </w:rPr>
      </w:r>
      <w:r w:rsidDel="00000000" w:rsidR="00000000" w:rsidRPr="00000000">
        <w:rPr>
          <w:rFonts w:ascii="Calibri" w:cs="Calibri" w:eastAsia="Calibri" w:hAnsi="Calibri"/>
          <w:rtl w:val="0"/>
        </w:rPr>
      </w:r>
      <w:r w:rsidDel="00000000" w:rsidR="00000000" w:rsidRPr="00000000">
        <w:rPr>
          <w:rFonts w:ascii="Calibri" w:cs="Calibri" w:eastAsia="Calibri" w:hAnsi="Calibri"/>
          <w:color w:val="2a2a2a"/>
          <w:sz w:val="24"/>
          <w:szCs w:val="24"/>
          <w:rtl w:val="0"/>
        </w:rPr>
      </w:r>
    </w:p>
    <w:p w:rsidR="00000000" w:rsidDel="00000000" w:rsidP="00000000" w:rsidRDefault="00000000" w:rsidRPr="00000000" w14:paraId="0000000F">
      <w:pPr>
        <w:spacing w:after="160" w:line="259"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160" w:line="259" w:lineRule="auto"/>
        <w:rPr/>
      </w:pPr>
      <w:r w:rsidDel="00000000" w:rsidR="00000000" w:rsidRPr="00000000">
        <w:rPr>
          <w:rFonts w:ascii="Calibri" w:cs="Calibri" w:eastAsia="Calibri" w:hAnsi="Calibri"/>
          <w:sz w:val="24"/>
          <w:szCs w:val="24"/>
          <w:rtl w:val="0"/>
        </w:rPr>
        <w:t xml:space="preserve">Reference: </w:t>
      </w:r>
      <w:hyperlink r:id="rId8">
        <w:r w:rsidDel="00000000" w:rsidR="00000000" w:rsidRPr="00000000">
          <w:rPr>
            <w:rFonts w:ascii="Calibri" w:cs="Calibri" w:eastAsia="Calibri" w:hAnsi="Calibri"/>
            <w:color w:val="0563c1"/>
            <w:u w:val="single"/>
            <w:rtl w:val="0"/>
          </w:rPr>
          <w:t xml:space="preserve">https://www.mural.co/templates/empathy-map-canvas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mural.co/templates/empathy-map-canvas"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lv+TO4gsFMS39EGMPNnynAmCSg==">CgMxLjA4AHIhMWE4cXEwS05jXzluWGNRVlpIZ1dWZDk0eVNNMjM3Y044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