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Technology has become an inseparable part of our daily lives, shaping the way we communicate, learn, and work. From the moment we wake up to the time we sleep, we’re surrounded by digital tools that simplify complex tasks and connect us with the world in seconds. The evolution from simple machines to advanced artificial intelligence has shown how creativity and innovation can transform human potential.</w:t>
      </w:r>
    </w:p>
    <w:p w:rsidR="00000000" w:rsidDel="00000000" w:rsidP="00000000" w:rsidRDefault="00000000" w:rsidRPr="00000000" w14:paraId="00000002">
      <w:pPr>
        <w:spacing w:after="240" w:before="240" w:lineRule="auto"/>
        <w:rPr/>
      </w:pPr>
      <w:r w:rsidDel="00000000" w:rsidR="00000000" w:rsidRPr="00000000">
        <w:rPr>
          <w:rtl w:val="0"/>
        </w:rPr>
        <w:t xml:space="preserve">However, with great technological growth comes greater responsibility. The rise of automation, data sharing, and social media has also introduced challenges like privacy concerns, misinformation, and digital addiction. It’s important for individuals and societies to balance convenience with consciousness — using technology as an enabler, not a controller.</w:t>
      </w:r>
    </w:p>
    <w:p w:rsidR="00000000" w:rsidDel="00000000" w:rsidP="00000000" w:rsidRDefault="00000000" w:rsidRPr="00000000" w14:paraId="00000003">
      <w:pPr>
        <w:spacing w:after="240" w:before="240" w:lineRule="auto"/>
        <w:rPr/>
      </w:pPr>
      <w:r w:rsidDel="00000000" w:rsidR="00000000" w:rsidRPr="00000000">
        <w:rPr>
          <w:rtl w:val="0"/>
        </w:rPr>
        <w:t xml:space="preserve">Ultimately, the future of technology depends on how we shape it today. If guided by empathy, ethics, and purpose, innovation can create a world that’s not just smarter but also kinder and more sustainable. The real power of technology lies not in the code or the circuit, but in the intent behind its creation.</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