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7E" w:rsidRPr="004E0C7E" w:rsidRDefault="004E0C7E" w:rsidP="004E0C7E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Source Sans Pro" w:eastAsia="Times New Roman" w:hAnsi="Source Sans Pro" w:cs="Times New Roman"/>
          <w:b/>
          <w:bCs/>
          <w:color w:val="171717" w:themeColor="background2" w:themeShade="1A"/>
          <w:sz w:val="36"/>
          <w:szCs w:val="36"/>
          <w:lang w:eastAsia="en-GB"/>
        </w:rPr>
      </w:pPr>
      <w:r w:rsidRPr="004E0C7E">
        <w:rPr>
          <w:rFonts w:ascii="Source Sans Pro" w:eastAsia="Times New Roman" w:hAnsi="Source Sans Pro" w:cs="Times New Roman"/>
          <w:b/>
          <w:bCs/>
          <w:color w:val="171717" w:themeColor="background2" w:themeShade="1A"/>
          <w:sz w:val="36"/>
          <w:szCs w:val="36"/>
          <w:lang w:eastAsia="en-GB"/>
        </w:rPr>
        <w:t>Building blocks</w:t>
      </w:r>
    </w:p>
    <w:p w:rsidR="00DF271E" w:rsidRDefault="00DF271E" w:rsidP="004E0C7E">
      <w:pPr>
        <w:shd w:val="clear" w:color="auto" w:fill="FFFFFF"/>
        <w:spacing w:before="72"/>
        <w:outlineLvl w:val="2"/>
        <w:rPr>
          <w:rFonts w:ascii="Source Sans Pro" w:eastAsia="Times New Roman" w:hAnsi="Source Sans Pro" w:cs="Arial"/>
          <w:b/>
          <w:bCs/>
          <w:color w:val="171717" w:themeColor="background2" w:themeShade="1A"/>
          <w:sz w:val="29"/>
          <w:szCs w:val="29"/>
          <w:lang w:eastAsia="en-GB"/>
        </w:rPr>
      </w:pPr>
    </w:p>
    <w:p w:rsidR="004E0C7E" w:rsidRPr="004E0C7E" w:rsidRDefault="004E0C7E" w:rsidP="004E0C7E">
      <w:pPr>
        <w:shd w:val="clear" w:color="auto" w:fill="FFFFFF"/>
        <w:spacing w:before="72"/>
        <w:outlineLvl w:val="2"/>
        <w:rPr>
          <w:rFonts w:ascii="Source Sans Pro" w:eastAsia="Times New Roman" w:hAnsi="Source Sans Pro" w:cs="Arial"/>
          <w:b/>
          <w:bCs/>
          <w:color w:val="171717" w:themeColor="background2" w:themeShade="1A"/>
          <w:sz w:val="29"/>
          <w:szCs w:val="29"/>
          <w:lang w:eastAsia="en-GB"/>
        </w:rPr>
      </w:pPr>
      <w:r w:rsidRPr="004E0C7E">
        <w:rPr>
          <w:rFonts w:ascii="Source Sans Pro" w:eastAsia="Times New Roman" w:hAnsi="Source Sans Pro" w:cs="Arial"/>
          <w:b/>
          <w:bCs/>
          <w:color w:val="171717" w:themeColor="background2" w:themeShade="1A"/>
          <w:sz w:val="29"/>
          <w:szCs w:val="29"/>
          <w:lang w:eastAsia="en-GB"/>
        </w:rPr>
        <w:t>Common symbols</w:t>
      </w:r>
    </w:p>
    <w:p w:rsidR="004E0C7E" w:rsidRPr="00FE0AF9" w:rsidRDefault="004E0C7E" w:rsidP="004E0C7E">
      <w:pPr>
        <w:shd w:val="clear" w:color="auto" w:fill="FFFFFF"/>
        <w:spacing w:before="120" w:after="120"/>
        <w:rPr>
          <w:rFonts w:ascii="Source Sans Pro" w:eastAsia="Times New Roman" w:hAnsi="Source Sans Pro" w:cs="Arial"/>
          <w:color w:val="171717" w:themeColor="background2" w:themeShade="1A"/>
          <w:vertAlign w:val="superscript"/>
          <w:lang w:eastAsia="en-GB"/>
        </w:rPr>
      </w:pPr>
      <w:r w:rsidRPr="004E0C7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>The </w:t>
      </w:r>
      <w:hyperlink r:id="rId7" w:tooltip="American National Standards Institute" w:history="1">
        <w:r w:rsidRPr="004E0C7E">
          <w:rPr>
            <w:rFonts w:ascii="Source Sans Pro" w:eastAsia="Times New Roman" w:hAnsi="Source Sans Pro" w:cs="Arial"/>
            <w:color w:val="171717" w:themeColor="background2" w:themeShade="1A"/>
            <w:lang w:eastAsia="en-GB"/>
          </w:rPr>
          <w:t>American National Standards Institute</w:t>
        </w:r>
      </w:hyperlink>
      <w:r w:rsidRPr="004E0C7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> (ANSI) set standards for flowcharts and their symbols in the 1960s. The International Organization for Standardization (ISO) adopted the ANSI symbols.</w:t>
      </w:r>
      <w:r w:rsidR="00FE0AF9">
        <w:rPr>
          <w:rFonts w:ascii="Source Sans Pro" w:eastAsia="Times New Roman" w:hAnsi="Source Sans Pro" w:cs="Arial"/>
          <w:color w:val="171717" w:themeColor="background2" w:themeShade="1A"/>
          <w:vertAlign w:val="superscript"/>
          <w:lang w:eastAsia="en-GB"/>
        </w:rPr>
        <w:t xml:space="preserve"> </w:t>
      </w:r>
      <w:r w:rsidR="00FE0AF9" w:rsidRPr="004E0C7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 xml:space="preserve"> </w:t>
      </w:r>
      <w:r w:rsidRPr="004E0C7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>Generally, flowcharts flow from top to bottom and left to right.</w:t>
      </w:r>
      <w:r w:rsidR="00DF271E" w:rsidRPr="00DF271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 xml:space="preserve"> </w:t>
      </w:r>
    </w:p>
    <w:p w:rsidR="00DF271E" w:rsidRPr="004E0C7E" w:rsidRDefault="00DF271E" w:rsidP="004E0C7E">
      <w:pPr>
        <w:shd w:val="clear" w:color="auto" w:fill="FFFFFF"/>
        <w:spacing w:before="120" w:after="120"/>
        <w:rPr>
          <w:rFonts w:ascii="Source Sans Pro" w:eastAsia="Times New Roman" w:hAnsi="Source Sans Pro" w:cs="Arial"/>
          <w:color w:val="171717" w:themeColor="background2" w:themeShade="1A"/>
          <w:lang w:eastAsia="en-GB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208"/>
        <w:gridCol w:w="4604"/>
      </w:tblGrid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  <w:t>ANSI/ISO 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  <w:t>Description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977900" cy="185801"/>
                  <wp:effectExtent l="0" t="0" r="0" b="5080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887" cy="18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Flowline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Shows the process's order of operation. A line coming from one symbol and pointing at another.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17"/>
                <w:szCs w:val="17"/>
                <w:vertAlign w:val="superscript"/>
                <w:lang w:eastAsia="en-GB"/>
              </w:rPr>
              <w:t xml:space="preserve"> 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1270000" cy="635000"/>
                  <wp:effectExtent l="0" t="0" r="0" b="0"/>
                  <wp:docPr id="29" name="Picture 29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Terminal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Indicates the beginning and ending of a program or sub-process. Represented as a stadium, oval or rounded (fillet) rectangle. They usually contain the word "Start" or "End", or another phrase 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signalling</w:t>
            </w: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the start or end of a process, such as "submit inquiry" or "</w:t>
            </w:r>
            <w:r w:rsidR="007009E8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save</w:t>
            </w: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".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1270000" cy="635000"/>
                  <wp:effectExtent l="0" t="0" r="0" b="0"/>
                  <wp:docPr id="28" name="Picture 2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Represents a set of operations that changes value, form, or location of data. Represented as a rectangle.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  <w:bookmarkStart w:id="0" w:name="_GoBack"/>
        <w:bookmarkEnd w:id="0"/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1270000" cy="952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Shows a conditional operation that determines which one of the two paths the program will take.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17"/>
                <w:szCs w:val="17"/>
                <w:vertAlign w:val="superscript"/>
                <w:lang w:eastAsia="en-GB"/>
              </w:rPr>
              <w:t xml:space="preserve"> 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The operation is commonly a yes/no question or true/false test. Represented as a diamond</w:t>
            </w:r>
            <w:r w:rsidR="007009E8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.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1270000" cy="635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proofErr w:type="spellStart"/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Input/Output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Indicates the process of inputting and outputting data,</w:t>
            </w:r>
            <w:r w:rsidR="00DF271E">
              <w:rPr>
                <w:rFonts w:ascii="Source Sans Pro" w:eastAsia="Times New Roman" w:hAnsi="Source Sans Pro" w:cs="Arial"/>
                <w:color w:val="171717" w:themeColor="background2" w:themeShade="1A"/>
                <w:sz w:val="17"/>
                <w:szCs w:val="17"/>
                <w:vertAlign w:val="superscript"/>
                <w:lang w:eastAsia="en-GB"/>
              </w:rPr>
              <w:t xml:space="preserve"> </w:t>
            </w:r>
            <w:r w:rsidR="00DF271E"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as in entering data or displaying results. Represented as a </w:t>
            </w:r>
            <w:hyperlink r:id="rId13" w:tooltip="Parallelogram" w:history="1">
              <w:r w:rsidRPr="004E0C7E">
                <w:rPr>
                  <w:rFonts w:ascii="Source Sans Pro" w:eastAsia="Times New Roman" w:hAnsi="Source Sans Pro" w:cs="Arial"/>
                  <w:color w:val="171717" w:themeColor="background2" w:themeShade="1A"/>
                  <w:sz w:val="21"/>
                  <w:szCs w:val="21"/>
                  <w:lang w:eastAsia="en-GB"/>
                </w:rPr>
                <w:t>parallelogram</w:t>
              </w:r>
            </w:hyperlink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n-GB"/>
              </w:rPr>
              <w:lastRenderedPageBreak/>
              <w:drawing>
                <wp:inline distT="0" distB="0" distL="0" distR="0">
                  <wp:extent cx="1270000" cy="635000"/>
                  <wp:effectExtent l="0" t="0" r="0" b="0"/>
                  <wp:docPr id="25" name="Picture 2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Annotation</w:t>
            </w:r>
            <w:hyperlink r:id="rId16" w:anchor="cite_note-ShellyVermaat2011-14" w:history="1">
              <w:r w:rsidRPr="004E0C7E">
                <w:rPr>
                  <w:rFonts w:ascii="Source Sans Pro" w:eastAsia="Times New Roman" w:hAnsi="Source Sans Pro" w:cs="Arial"/>
                  <w:color w:val="171717" w:themeColor="background2" w:themeShade="1A"/>
                  <w:sz w:val="17"/>
                  <w:szCs w:val="17"/>
                  <w:vertAlign w:val="superscript"/>
                  <w:lang w:eastAsia="en-GB"/>
                </w:rPr>
                <w:t>]</w:t>
              </w:r>
            </w:hyperlink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(Comment)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Indicating additional information about a step in the program. Represented as an open rectangle with a dashed or solid line connecting it to the corresponding symbol in the flowchar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t .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n-GB"/>
              </w:rPr>
              <w:drawing>
                <wp:inline distT="0" distB="0" distL="0" distR="0">
                  <wp:extent cx="1270000" cy="635000"/>
                  <wp:effectExtent l="0" t="0" r="0" b="0"/>
                  <wp:docPr id="24" name="Picture 2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Predefined Process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Shows named process which is defined elsewhere. Represented as a rectangle with double-struck vertical edges.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n-GB"/>
              </w:rPr>
              <w:drawing>
                <wp:inline distT="0" distB="0" distL="0" distR="0">
                  <wp:extent cx="635000" cy="635000"/>
                  <wp:effectExtent l="0" t="0" r="0" b="0"/>
                  <wp:docPr id="23" name="Picture 23" descr="A close up of a logo&#10;&#10;Description automatically generated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On-page Connector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Pairs of </w:t>
            </w:r>
            <w:r w:rsidR="00DF271E"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labelled</w:t>
            </w: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connectors replace long or confusing lines on a flowchart page. Represented by a small circle with a letter inside.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en-GB"/>
              </w:rPr>
              <w:drawing>
                <wp:inline distT="0" distB="0" distL="0" distR="0">
                  <wp:extent cx="635000" cy="622300"/>
                  <wp:effectExtent l="0" t="0" r="0" b="0"/>
                  <wp:docPr id="22" name="Picture 22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Off-page Connector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A </w:t>
            </w:r>
            <w:r w:rsidR="00DF271E"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labelled</w:t>
            </w: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connector for use when the target is on another page. Represented as a home plate-shaped pentagon.</w:t>
            </w:r>
            <w:r w:rsidR="00DF271E" w:rsidRPr="00DF271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 xml:space="preserve"> </w:t>
            </w:r>
          </w:p>
        </w:tc>
      </w:tr>
    </w:tbl>
    <w:p w:rsidR="00DF271E" w:rsidRDefault="00DF271E" w:rsidP="004E0C7E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</w:p>
    <w:p w:rsidR="004E0C7E" w:rsidRPr="004E0C7E" w:rsidRDefault="004E0C7E" w:rsidP="004E0C7E">
      <w:pPr>
        <w:shd w:val="clear" w:color="auto" w:fill="FFFFFF"/>
        <w:spacing w:before="72"/>
        <w:outlineLvl w:val="2"/>
        <w:rPr>
          <w:rFonts w:ascii="Source Sans Pro" w:eastAsia="Times New Roman" w:hAnsi="Source Sans Pro" w:cs="Arial"/>
          <w:b/>
          <w:bCs/>
          <w:color w:val="171717" w:themeColor="background2" w:themeShade="1A"/>
          <w:sz w:val="29"/>
          <w:szCs w:val="29"/>
          <w:lang w:eastAsia="en-GB"/>
        </w:rPr>
      </w:pPr>
      <w:r w:rsidRPr="004E0C7E">
        <w:rPr>
          <w:rFonts w:ascii="Source Sans Pro" w:eastAsia="Times New Roman" w:hAnsi="Source Sans Pro" w:cs="Arial"/>
          <w:b/>
          <w:bCs/>
          <w:color w:val="171717" w:themeColor="background2" w:themeShade="1A"/>
          <w:sz w:val="29"/>
          <w:szCs w:val="29"/>
          <w:lang w:eastAsia="en-GB"/>
        </w:rPr>
        <w:t>Other symbols</w:t>
      </w:r>
    </w:p>
    <w:p w:rsidR="004E0C7E" w:rsidRPr="00DF271E" w:rsidRDefault="004E0C7E" w:rsidP="004E0C7E">
      <w:pPr>
        <w:shd w:val="clear" w:color="auto" w:fill="FFFFFF"/>
        <w:spacing w:before="120" w:after="120"/>
        <w:rPr>
          <w:rFonts w:ascii="Source Sans Pro" w:eastAsia="Times New Roman" w:hAnsi="Source Sans Pro" w:cs="Arial"/>
          <w:color w:val="171717" w:themeColor="background2" w:themeShade="1A"/>
          <w:lang w:eastAsia="en-GB"/>
        </w:rPr>
      </w:pPr>
      <w:r w:rsidRPr="004E0C7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>The ANSI/ISO standards include symbols beyond the basic shapes. Some are:</w:t>
      </w:r>
      <w:r w:rsidR="00DF271E" w:rsidRPr="00DF271E">
        <w:rPr>
          <w:rFonts w:ascii="Source Sans Pro" w:eastAsia="Times New Roman" w:hAnsi="Source Sans Pro" w:cs="Arial"/>
          <w:color w:val="171717" w:themeColor="background2" w:themeShade="1A"/>
          <w:lang w:eastAsia="en-GB"/>
        </w:rPr>
        <w:t xml:space="preserve"> </w:t>
      </w:r>
    </w:p>
    <w:p w:rsidR="00DF271E" w:rsidRPr="004E0C7E" w:rsidRDefault="00DF271E" w:rsidP="004E0C7E">
      <w:pPr>
        <w:shd w:val="clear" w:color="auto" w:fill="FFFFFF"/>
        <w:spacing w:before="120" w:after="120"/>
        <w:rPr>
          <w:rFonts w:ascii="Source Sans Pro" w:eastAsia="Times New Roman" w:hAnsi="Source Sans Pro" w:cs="Arial"/>
          <w:color w:val="171717" w:themeColor="background2" w:themeShade="1A"/>
          <w:sz w:val="21"/>
          <w:szCs w:val="21"/>
          <w:lang w:eastAsia="en-GB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706"/>
        <w:gridCol w:w="5706"/>
      </w:tblGrid>
      <w:tr w:rsidR="00DF271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  <w:t>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1"/>
                <w:szCs w:val="21"/>
                <w:lang w:eastAsia="en-GB"/>
              </w:rPr>
              <w:t>Description</w:t>
            </w:r>
          </w:p>
        </w:tc>
      </w:tr>
      <w:tr w:rsidR="00DF271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685800" cy="685800"/>
                  <wp:effectExtent l="0" t="0" r="0" b="0"/>
                  <wp:docPr id="21" name="Picture 21" descr="Flowchart database">
                    <a:hlinkClick xmlns:a="http://schemas.openxmlformats.org/drawingml/2006/main" r:id="rId23" tooltip="&quot;Flowchart databa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lowchart database">
                            <a:hlinkClick r:id="rId23" tooltip="&quot;Flowchart databa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Data File or Database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Data represented by a cylinder (disk drive).</w:t>
            </w:r>
          </w:p>
        </w:tc>
      </w:tr>
      <w:tr w:rsidR="00DF271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812800" cy="495300"/>
                  <wp:effectExtent l="0" t="0" r="0" b="0"/>
                  <wp:docPr id="20" name="Picture 20" descr="Flowchart Document">
                    <a:hlinkClick xmlns:a="http://schemas.openxmlformats.org/drawingml/2006/main" r:id="rId25" tooltip="&quot;Flowchart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lowchart Document">
                            <a:hlinkClick r:id="rId25" tooltip="&quot;Flowchart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Single documents represented a rectangle with a wavy base.</w:t>
            </w:r>
          </w:p>
        </w:tc>
      </w:tr>
      <w:tr w:rsidR="00DF271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812800" cy="558800"/>
                  <wp:effectExtent l="0" t="0" r="0" b="0"/>
                  <wp:docPr id="19" name="Picture 19" descr="Flowchart Document multiple">
                    <a:hlinkClick xmlns:a="http://schemas.openxmlformats.org/drawingml/2006/main" r:id="rId27" tooltip="&quot;Flowchart Document multi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lowchart Document multiple">
                            <a:hlinkClick r:id="rId27" tooltip="&quot;Flowchart Document multi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Multiple documents represented stacked rectangle with a wavy base.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lastRenderedPageBreak/>
              <w:drawing>
                <wp:inline distT="0" distB="0" distL="0" distR="0">
                  <wp:extent cx="850900" cy="520700"/>
                  <wp:effectExtent l="0" t="0" r="0" b="0"/>
                  <wp:docPr id="18" name="Picture 18" descr="Flowchar Manual input">
                    <a:hlinkClick xmlns:a="http://schemas.openxmlformats.org/drawingml/2006/main" r:id="rId29" tooltip="&quot;Flowchar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lowchar Manual input">
                            <a:hlinkClick r:id="rId29" tooltip="&quot;Flowchar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Manual 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represented by a trapezoid with the longest parallel side at the top, to represent an operation or adjustment to process that can only be made manually.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838200" cy="508000"/>
                  <wp:effectExtent l="0" t="0" r="0" b="0"/>
                  <wp:docPr id="17" name="Picture 17" descr="Flowchart manual input">
                    <a:hlinkClick xmlns:a="http://schemas.openxmlformats.org/drawingml/2006/main" r:id="rId31" tooltip="&quot;Flowchart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Flowchart manual input">
                            <a:hlinkClick r:id="rId31" tooltip="&quot;Flowchart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Manual 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Represented by quadrilateral, with the top irregularly sloping up from left to right, like the side view of a keyboard.</w:t>
            </w:r>
          </w:p>
        </w:tc>
      </w:tr>
      <w:tr w:rsidR="004E0C7E" w:rsidRPr="004E0C7E" w:rsidTr="004E0C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Arial" w:eastAsia="Times New Roman" w:hAnsi="Arial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DF271E">
              <w:rPr>
                <w:rFonts w:ascii="Arial" w:eastAsia="Times New Roman" w:hAnsi="Arial" w:cs="Arial"/>
                <w:noProof/>
                <w:color w:val="171717" w:themeColor="background2" w:themeShade="1A"/>
                <w:sz w:val="21"/>
                <w:szCs w:val="21"/>
                <w:lang w:eastAsia="en-GB"/>
              </w:rPr>
              <w:drawing>
                <wp:inline distT="0" distB="0" distL="0" distR="0">
                  <wp:extent cx="889000" cy="444500"/>
                  <wp:effectExtent l="0" t="0" r="0" b="0"/>
                  <wp:docPr id="16" name="Picture 16" descr="Flowchart Preparation">
                    <a:hlinkClick xmlns:a="http://schemas.openxmlformats.org/drawingml/2006/main" r:id="rId33" tooltip="&quot;Flowchart Prepar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lowchart Preparation">
                            <a:hlinkClick r:id="rId33" tooltip="&quot;Flowchart Prepar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jc w:val="center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Preparation or Initialization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0C7E" w:rsidRPr="004E0C7E" w:rsidRDefault="004E0C7E" w:rsidP="004E0C7E">
            <w:pPr>
              <w:spacing w:before="240" w:after="240"/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</w:pPr>
            <w:r w:rsidRPr="004E0C7E">
              <w:rPr>
                <w:rFonts w:ascii="Source Sans Pro" w:eastAsia="Times New Roman" w:hAnsi="Source Sans Pro" w:cs="Arial"/>
                <w:color w:val="171717" w:themeColor="background2" w:themeShade="1A"/>
                <w:sz w:val="21"/>
                <w:szCs w:val="21"/>
                <w:lang w:eastAsia="en-GB"/>
              </w:rPr>
              <w:t>Represented by an elongated hexagon, originally used for steps like setting a switch or initializing a routine.</w:t>
            </w:r>
          </w:p>
        </w:tc>
      </w:tr>
    </w:tbl>
    <w:p w:rsidR="004E0C7E" w:rsidRPr="004E0C7E" w:rsidRDefault="004E0C7E" w:rsidP="004E0C7E">
      <w:pPr>
        <w:rPr>
          <w:rFonts w:ascii="Times New Roman" w:eastAsia="Times New Roman" w:hAnsi="Times New Roman" w:cs="Times New Roman"/>
          <w:lang w:eastAsia="en-GB"/>
        </w:rPr>
      </w:pPr>
    </w:p>
    <w:p w:rsidR="00DF271E" w:rsidRPr="00DF271E" w:rsidRDefault="004E0C7E" w:rsidP="004E0C7E">
      <w:pPr>
        <w:rPr>
          <w:rFonts w:ascii="Source Sans Pro" w:hAnsi="Source Sans Pro"/>
          <w:b/>
          <w:bCs/>
          <w:sz w:val="29"/>
          <w:szCs w:val="29"/>
        </w:rPr>
      </w:pPr>
      <w:r w:rsidRPr="00DF271E">
        <w:rPr>
          <w:rFonts w:ascii="Source Sans Pro" w:hAnsi="Source Sans Pro"/>
          <w:b/>
          <w:bCs/>
          <w:sz w:val="29"/>
          <w:szCs w:val="29"/>
        </w:rPr>
        <w:t>Links</w:t>
      </w:r>
    </w:p>
    <w:p w:rsidR="004E0C7E" w:rsidRPr="004E0C7E" w:rsidRDefault="00347070" w:rsidP="004E0C7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/>
      </w:r>
      <w:hyperlink r:id="rId35" w:history="1">
        <w:r w:rsidR="00CF2BCD" w:rsidRPr="00CF2BC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https://en.wikipedia.org/wiki/Flowchart</w:t>
        </w:r>
      </w:hyperlink>
      <w:r w:rsidR="00CF2BCD">
        <w:rPr>
          <w:rFonts w:ascii="Times New Roman" w:eastAsia="Times New Roman" w:hAnsi="Times New Roman" w:cs="Times New Roman"/>
          <w:lang w:eastAsia="en-GB"/>
        </w:rPr>
        <w:br/>
      </w:r>
      <w:hyperlink r:id="rId36" w:history="1">
        <w:r w:rsidRPr="004E0C7E">
          <w:rPr>
            <w:rStyle w:val="Hyperlink"/>
            <w:rFonts w:ascii="Times New Roman" w:eastAsia="Times New Roman" w:hAnsi="Times New Roman" w:cs="Times New Roman"/>
            <w:lang w:eastAsia="en-GB"/>
          </w:rPr>
          <w:t>https://the9000store.com/articles/iso-9000-tips-iso-9001-flowchart-basics/</w:t>
        </w:r>
      </w:hyperlink>
    </w:p>
    <w:p w:rsidR="004E79E9" w:rsidRPr="004E79E9" w:rsidRDefault="00C6390E" w:rsidP="004E79E9">
      <w:pPr>
        <w:rPr>
          <w:rFonts w:ascii="Times New Roman" w:eastAsia="Times New Roman" w:hAnsi="Times New Roman" w:cs="Times New Roman"/>
          <w:lang w:eastAsia="en-GB"/>
        </w:rPr>
      </w:pPr>
      <w:hyperlink r:id="rId37" w:history="1">
        <w:r w:rsidR="004E79E9" w:rsidRPr="004E79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https://www.smartdraw.com/flowchart/</w:t>
        </w:r>
      </w:hyperlink>
    </w:p>
    <w:p w:rsidR="004E79E9" w:rsidRPr="004E79E9" w:rsidRDefault="00C6390E" w:rsidP="004E79E9">
      <w:pPr>
        <w:rPr>
          <w:rFonts w:ascii="Times New Roman" w:eastAsia="Times New Roman" w:hAnsi="Times New Roman" w:cs="Times New Roman"/>
          <w:lang w:eastAsia="en-GB"/>
        </w:rPr>
      </w:pPr>
      <w:hyperlink r:id="rId38" w:history="1">
        <w:r w:rsidR="004E79E9" w:rsidRPr="004E79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https://products.office.com/en-za/visio/flowchart-software</w:t>
        </w:r>
      </w:hyperlink>
    </w:p>
    <w:p w:rsidR="004E0C7E" w:rsidRPr="004E0C7E" w:rsidRDefault="004E0C7E" w:rsidP="004E0C7E"/>
    <w:sectPr w:rsidR="004E0C7E" w:rsidRPr="004E0C7E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90E" w:rsidRDefault="00C6390E" w:rsidP="004E0C7E">
      <w:r>
        <w:separator/>
      </w:r>
    </w:p>
  </w:endnote>
  <w:endnote w:type="continuationSeparator" w:id="0">
    <w:p w:rsidR="00C6390E" w:rsidRDefault="00C6390E" w:rsidP="004E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90E" w:rsidRDefault="00C6390E" w:rsidP="004E0C7E">
      <w:r>
        <w:separator/>
      </w:r>
    </w:p>
  </w:footnote>
  <w:footnote w:type="continuationSeparator" w:id="0">
    <w:p w:rsidR="00C6390E" w:rsidRDefault="00C6390E" w:rsidP="004E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F59"/>
    <w:multiLevelType w:val="multilevel"/>
    <w:tmpl w:val="088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FC8"/>
    <w:multiLevelType w:val="multilevel"/>
    <w:tmpl w:val="3AC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7E"/>
    <w:rsid w:val="00220011"/>
    <w:rsid w:val="002D1DFE"/>
    <w:rsid w:val="002E5754"/>
    <w:rsid w:val="00347070"/>
    <w:rsid w:val="003967EE"/>
    <w:rsid w:val="004D5440"/>
    <w:rsid w:val="004E0C7E"/>
    <w:rsid w:val="004E5439"/>
    <w:rsid w:val="004E79E9"/>
    <w:rsid w:val="007009E8"/>
    <w:rsid w:val="00911619"/>
    <w:rsid w:val="00C41C95"/>
    <w:rsid w:val="00C6390E"/>
    <w:rsid w:val="00CF2BCD"/>
    <w:rsid w:val="00DF271E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24953-E24E-4240-8827-95CEF94F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C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E0C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C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0C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4E0C7E"/>
  </w:style>
  <w:style w:type="character" w:customStyle="1" w:styleId="mw-editsection">
    <w:name w:val="mw-editsection"/>
    <w:basedOn w:val="DefaultParagraphFont"/>
    <w:rsid w:val="004E0C7E"/>
  </w:style>
  <w:style w:type="character" w:customStyle="1" w:styleId="mw-editsection-bracket">
    <w:name w:val="mw-editsection-bracket"/>
    <w:basedOn w:val="DefaultParagraphFont"/>
    <w:rsid w:val="004E0C7E"/>
  </w:style>
  <w:style w:type="paragraph" w:styleId="NormalWeb">
    <w:name w:val="Normal (Web)"/>
    <w:basedOn w:val="Normal"/>
    <w:uiPriority w:val="99"/>
    <w:semiHidden/>
    <w:unhideWhenUsed/>
    <w:rsid w:val="004E0C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4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arallelogra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File:Off_page_connector.png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en.wikipedia.org/wiki/American_National_Standards_Institut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File:Flowchart_Predefined_Process.svg" TargetMode="External"/><Relationship Id="rId25" Type="http://schemas.openxmlformats.org/officeDocument/2006/relationships/hyperlink" Target="https://zh.wikipedia.org/wiki/File:Flowchart_Document.svg" TargetMode="External"/><Relationship Id="rId33" Type="http://schemas.openxmlformats.org/officeDocument/2006/relationships/hyperlink" Target="https://zh.wikipedia.org/wiki/File:Flowchart_Preparation.svg" TargetMode="External"/><Relationship Id="rId38" Type="http://schemas.openxmlformats.org/officeDocument/2006/relationships/hyperlink" Target="https://products.office.com/en-za/visio/flowchart-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lowchart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File:Flowchar_Manual_input.sv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smartdraw.com/flowchart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zh.wikipedia.org/wiki/File:Flowchart_database.svg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the9000store.com/articles/iso-9000-tips-iso-9001-flowchart-basic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Flowchart_Connector.svg" TargetMode="External"/><Relationship Id="rId31" Type="http://schemas.openxmlformats.org/officeDocument/2006/relationships/hyperlink" Target="https://zh.wikipedia.org/wiki/File:Flowchart_manual_input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ile:Flowchart_Annotation.svg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zh.wikipedia.org/wiki/File:Flowchart_Document_multiple.sv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en.wikipedia.org/wiki/Flowchar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5</cp:revision>
  <dcterms:created xsi:type="dcterms:W3CDTF">2019-09-04T09:08:00Z</dcterms:created>
  <dcterms:modified xsi:type="dcterms:W3CDTF">2019-09-05T07:17:00Z</dcterms:modified>
</cp:coreProperties>
</file>