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Estrategia de Inversión Técnica</w:t>
      </w:r>
    </w:p>
    <w:p>
      <w:pPr>
        <w:jc w:val="center"/>
      </w:pPr>
      <w:r>
        <w:rPr>
          <w:i/>
          <w:sz w:val="28"/>
        </w:rPr>
        <w:t>InkBytes — 6 semanas para pasar de MVP a producto cobrable</w:t>
      </w:r>
    </w:p>
    <w:p>
      <w:pPr>
        <w:jc w:val="center"/>
      </w:pPr>
      <w:r>
        <w:rPr>
          <w:i/>
        </w:rPr>
        <w:t>Audiencia: Board / inversores / co-founder no técnico</w:t>
        <w:br/>
      </w:r>
      <w:r>
        <w:rPr>
          <w:i/>
        </w:rPr>
        <w:t>Versión 1.0 · 2026-06-02 · Pragmata Labs</w:t>
      </w:r>
    </w:p>
    <w:p>
      <w:r>
        <w:br w:type="page"/>
      </w:r>
    </w:p>
    <w:p>
      <w:pPr>
        <w:pStyle w:val="Heading1"/>
      </w:pPr>
      <w:r>
        <w:t>Resumen ejecutivo (1 página)</w:t>
      </w:r>
    </w:p>
    <w:p>
      <w:r>
        <w:t>InkBytes acaba de poner en producción su MVP: un lector de noticias pago, sin publicidad, donde cada evento se presenta como una página única consolidada desde múltiples fuentes. Las próximas 6 semanas convertirán esa demo invitada en un producto cobrable con calidad demostrable, controles operacionales serios y cumplimiento legal mínimo.</w:t>
      </w:r>
    </w:p>
    <w:p>
      <w:r>
        <w:rPr>
          <w:b/>
        </w:rPr>
        <w:t xml:space="preserve">La inversión técnica propuesta: </w:t>
      </w:r>
      <w:r>
        <w:t>31 historias agrupadas en 8 áreas (seguridad, fiabilidad, datos, calidad LLM, deploy/CI, observabilidad, contratos, lector/monetización), ejecutadas en 3 sprints de 2 semanas. Costo en horas-ingeniero: ~95 puntos (≈ 4 semanas-persona). Costo en USD/mes nuevo: &lt; $30 sobre el OPEX actual.</w:t>
      </w:r>
    </w:p>
    <w:p>
      <w:r>
        <w:rPr>
          <w:b/>
        </w:rPr>
        <w:t xml:space="preserve">Objetivo de negocio: </w:t>
      </w:r>
      <w:r>
        <w:t>10+ usuarios pago activos con &gt; 50% retention semanal al final de Sprint-4. Habilita la siguiente ronda de marketing porque el funnel completo (auth + billing + Stripe Checkout) está operativo, no es vaporware.</w:t>
      </w:r>
    </w:p>
    <w:p>
      <w:pPr>
        <w:pStyle w:val="Heading1"/>
      </w:pPr>
      <w:r>
        <w:t>¿Por qué este orden importa? — Riesgo si no se ejecuta</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Si no se hace…</w:t>
            </w:r>
          </w:p>
        </w:tc>
        <w:tc>
          <w:tcPr>
            <w:tcW w:type="dxa" w:w="3135"/>
          </w:tcPr>
          <w:p>
            <w:r>
              <w:rPr>
                <w:b/>
              </w:rPr>
              <w:t>Probabilidad</w:t>
            </w:r>
          </w:p>
        </w:tc>
        <w:tc>
          <w:tcPr>
            <w:tcW w:type="dxa" w:w="3135"/>
          </w:tcPr>
          <w:p>
            <w:r>
              <w:rPr>
                <w:b/>
              </w:rPr>
              <w:t>Impacto en el negocio</w:t>
            </w:r>
          </w:p>
        </w:tc>
      </w:tr>
      <w:tr>
        <w:tc>
          <w:tcPr>
            <w:tcW w:type="dxa" w:w="3135"/>
          </w:tcPr>
          <w:p>
            <w:r>
              <w:t>Rotar tokens filtrados (R-009)</w:t>
            </w:r>
          </w:p>
        </w:tc>
        <w:tc>
          <w:tcPr>
            <w:tcW w:type="dxa" w:w="3135"/>
          </w:tcPr>
          <w:p>
            <w:r>
              <w:t>Alta — el repo es público</w:t>
            </w:r>
          </w:p>
        </w:tc>
        <w:tc>
          <w:tcPr>
            <w:tcW w:type="dxa" w:w="3135"/>
          </w:tcPr>
          <w:p>
            <w:r>
              <w:t>$2k-$50k en cargos no autorizados (DO Spaces, Anthropic, OpenAI). Pérdida de confianza si un atacante envenena la BD.</w:t>
            </w:r>
          </w:p>
        </w:tc>
      </w:tr>
      <w:tr>
        <w:tc>
          <w:tcPr>
            <w:tcW w:type="dxa" w:w="3135"/>
          </w:tcPr>
          <w:p>
            <w:r>
              <w:t>Cerrar hallucination del LLM (R-001)</w:t>
            </w:r>
          </w:p>
        </w:tc>
        <w:tc>
          <w:tcPr>
            <w:tcW w:type="dxa" w:w="3135"/>
          </w:tcPr>
          <w:p>
            <w:r>
              <w:t>Alta — Haiku zero-shot tiene tasa de error real ~5-10%</w:t>
            </w:r>
          </w:p>
        </w:tc>
        <w:tc>
          <w:tcPr>
            <w:tcW w:type="dxa" w:w="3135"/>
          </w:tcPr>
          <w:p>
            <w:r>
              <w:t>Reclamo legal de un outlet si reproducimos un hecho falso. Cancelación de suscripciones masivas si un usuario detecta una fabricación.</w:t>
            </w:r>
          </w:p>
        </w:tc>
      </w:tr>
      <w:tr>
        <w:tc>
          <w:tcPr>
            <w:tcW w:type="dxa" w:w="3135"/>
          </w:tcPr>
          <w:p>
            <w:r>
              <w:t>Backup restore drill (R-004)</w:t>
            </w:r>
          </w:p>
        </w:tc>
        <w:tc>
          <w:tcPr>
            <w:tcW w:type="dxa" w:w="3135"/>
          </w:tcPr>
          <w:p>
            <w:r>
              <w:t>Baja por incidente, alta por agregación</w:t>
            </w:r>
          </w:p>
        </w:tc>
        <w:tc>
          <w:tcPr>
            <w:tcW w:type="dxa" w:w="3135"/>
          </w:tcPr>
          <w:p>
            <w:r>
              <w:t>Pérdida de pages y sessions si Postgres muere. 8h de downtime para restaurar desde cero. Sin drill no sabemos si los backups funcionan.</w:t>
            </w:r>
          </w:p>
        </w:tc>
      </w:tr>
      <w:tr>
        <w:tc>
          <w:tcPr>
            <w:tcW w:type="dxa" w:w="3135"/>
          </w:tcPr>
          <w:p>
            <w:r>
              <w:t>Magic-link auth + Stripe (IB-49, IB-50)</w:t>
            </w:r>
          </w:p>
        </w:tc>
        <w:tc>
          <w:tcPr>
            <w:tcW w:type="dxa" w:w="3135"/>
          </w:tcPr>
          <w:p>
            <w:r>
              <w:t>Crítica — sin esto no hay producto cobrable</w:t>
            </w:r>
          </w:p>
        </w:tc>
        <w:tc>
          <w:tcPr>
            <w:tcW w:type="dxa" w:w="3135"/>
          </w:tcPr>
          <w:p>
            <w:r>
              <w:t>Reader queda en estado "demo gratis" indefinidamente. Cero ingresos.</w:t>
            </w:r>
          </w:p>
        </w:tc>
      </w:tr>
      <w:tr>
        <w:tc>
          <w:tcPr>
            <w:tcW w:type="dxa" w:w="3135"/>
          </w:tcPr>
          <w:p>
            <w:r>
              <w:t>Privacy policy + DSAR (IB-53)</w:t>
            </w:r>
          </w:p>
        </w:tc>
        <w:tc>
          <w:tcPr>
            <w:tcW w:type="dxa" w:w="3135"/>
          </w:tcPr>
          <w:p>
            <w:r>
              <w:t>Media (sin penalización inmediata)</w:t>
            </w:r>
          </w:p>
        </w:tc>
        <w:tc>
          <w:tcPr>
            <w:tcW w:type="dxa" w:w="3135"/>
          </w:tcPr>
          <w:p>
            <w:r>
              <w:t>Bloquea expansión en mercado europeo. Riesgo legal en DR ante cualquier reclamo de usuario.</w:t>
            </w:r>
          </w:p>
        </w:tc>
      </w:tr>
    </w:tbl>
    <w:p>
      <w:r>
        <w:br w:type="page"/>
      </w:r>
    </w:p>
    <w:p>
      <w:pPr>
        <w:pStyle w:val="Heading1"/>
      </w:pPr>
      <w:r>
        <w:t>Visión del producto</w:t>
      </w:r>
    </w:p>
    <w:p>
      <w:r>
        <w:t>InkBytes es lo que sería Bloomberg si cobrara $9/mes en lugar de $2,000/mes y eliminara todo el ruido. Una página por evento. Sintetizada desde múltiples fuentes con IA. Con citas literales para verificar. Diseñada para quien necesita señal en LATAM bilingüe + tech/business global.</w:t>
      </w:r>
    </w:p>
    <w:p>
      <w:r>
        <w:rPr>
          <w:b/>
        </w:rPr>
        <w:t xml:space="preserve">Diferenciación vs Ground News: </w:t>
      </w:r>
      <w:r>
        <w:t>Ground News etiqueta bias por outlet pero sigue siendo una lista de artículos. InkBytes consolida los artículos en una sola pieza de lectura, manteniendo la atribución. Más simple, más rápido de leer.</w:t>
      </w:r>
    </w:p>
    <w:p>
      <w:pPr>
        <w:pStyle w:val="Heading1"/>
      </w:pPr>
      <w:r>
        <w:t>Inversión: 6 semanas, ~$30 OPEX adicional/mes</w:t>
      </w:r>
    </w:p>
    <w:tbl>
      <w:tblPr>
        <w:tblStyle w:val="LightGrid-Accent1"/>
        <w:tblW w:type="auto" w:w="0"/>
        <w:tblLook w:firstColumn="1" w:firstRow="1" w:lastColumn="0" w:lastRow="0" w:noHBand="0" w:noVBand="1" w:val="04A0"/>
      </w:tblPr>
      <w:tblGrid>
        <w:gridCol w:w="4703"/>
        <w:gridCol w:w="4703"/>
      </w:tblGrid>
      <w:tr>
        <w:tc>
          <w:tcPr>
            <w:tcW w:type="dxa" w:w="4703"/>
          </w:tcPr>
          <w:p>
            <w:r>
              <w:rPr>
                <w:b/>
              </w:rPr>
              <w:t>Concepto</w:t>
            </w:r>
          </w:p>
        </w:tc>
        <w:tc>
          <w:tcPr>
            <w:tcW w:type="dxa" w:w="4703"/>
          </w:tcPr>
          <w:p>
            <w:r>
              <w:rPr>
                <w:b/>
              </w:rPr>
              <w:t>USD / mes</w:t>
            </w:r>
          </w:p>
        </w:tc>
      </w:tr>
      <w:tr>
        <w:tc>
          <w:tcPr>
            <w:tcW w:type="dxa" w:w="4703"/>
          </w:tcPr>
          <w:p>
            <w:r>
              <w:t>OPEX actual estimado (Droplet + Postgres + Spaces + Haiku)</w:t>
            </w:r>
          </w:p>
        </w:tc>
        <w:tc>
          <w:tcPr>
            <w:tcW w:type="dxa" w:w="4703"/>
          </w:tcPr>
          <w:p>
            <w:r>
              <w:t>120</w:t>
            </w:r>
          </w:p>
        </w:tc>
      </w:tr>
      <w:tr>
        <w:tc>
          <w:tcPr>
            <w:tcW w:type="dxa" w:w="4703"/>
          </w:tcPr>
          <w:p>
            <w:r>
              <w:t>Better Stack (logs) + Sentry (errors) — free tier</w:t>
            </w:r>
          </w:p>
        </w:tc>
        <w:tc>
          <w:tcPr>
            <w:tcW w:type="dxa" w:w="4703"/>
          </w:tcPr>
          <w:p>
            <w:r>
              <w:t>0</w:t>
            </w:r>
          </w:p>
        </w:tc>
      </w:tr>
      <w:tr>
        <w:tc>
          <w:tcPr>
            <w:tcW w:type="dxa" w:w="4703"/>
          </w:tcPr>
          <w:p>
            <w:r>
              <w:t>DO Managed Backup test (cuenta temporal)</w:t>
            </w:r>
          </w:p>
        </w:tc>
        <w:tc>
          <w:tcPr>
            <w:tcW w:type="dxa" w:w="4703"/>
          </w:tcPr>
          <w:p>
            <w:r>
              <w:t>1</w:t>
            </w:r>
          </w:p>
        </w:tc>
      </w:tr>
      <w:tr>
        <w:tc>
          <w:tcPr>
            <w:tcW w:type="dxa" w:w="4703"/>
          </w:tcPr>
          <w:p>
            <w:r>
              <w:t>CloudAMQP upgrade a paid (mTLS — opcional Sprint-3)</w:t>
            </w:r>
          </w:p>
        </w:tc>
        <w:tc>
          <w:tcPr>
            <w:tcW w:type="dxa" w:w="4703"/>
          </w:tcPr>
          <w:p>
            <w:r>
              <w:t>19</w:t>
            </w:r>
          </w:p>
        </w:tc>
      </w:tr>
      <w:tr>
        <w:tc>
          <w:tcPr>
            <w:tcW w:type="dxa" w:w="4703"/>
          </w:tcPr>
          <w:p>
            <w:r>
              <w:t>Stripe (sin costo fijo, fee por transacción)</w:t>
            </w:r>
          </w:p>
        </w:tc>
        <w:tc>
          <w:tcPr>
            <w:tcW w:type="dxa" w:w="4703"/>
          </w:tcPr>
          <w:p>
            <w:r>
              <w:t>0</w:t>
            </w:r>
          </w:p>
        </w:tc>
      </w:tr>
      <w:tr>
        <w:tc>
          <w:tcPr>
            <w:tcW w:type="dxa" w:w="4703"/>
          </w:tcPr>
          <w:p>
            <w:r>
              <w:t>Resend (magic-link emails, free tier ≤ 100/día)</w:t>
            </w:r>
          </w:p>
        </w:tc>
        <w:tc>
          <w:tcPr>
            <w:tcW w:type="dxa" w:w="4703"/>
          </w:tcPr>
          <w:p>
            <w:r>
              <w:t>0</w:t>
            </w:r>
          </w:p>
        </w:tc>
      </w:tr>
      <w:tr>
        <w:tc>
          <w:tcPr>
            <w:tcW w:type="dxa" w:w="4703"/>
          </w:tcPr>
          <w:p>
            <w:r>
              <w:t>Penetration test (one-time, Sprint-4)</w:t>
            </w:r>
          </w:p>
        </w:tc>
        <w:tc>
          <w:tcPr>
            <w:tcW w:type="dxa" w:w="4703"/>
          </w:tcPr>
          <w:p>
            <w:r>
              <w:t>3,000-5,000 (one-time)</w:t>
            </w:r>
          </w:p>
        </w:tc>
      </w:tr>
      <w:tr>
        <w:tc>
          <w:tcPr>
            <w:tcW w:type="dxa" w:w="4703"/>
          </w:tcPr>
          <w:p>
            <w:r>
              <w:t>Privacy policy template legal (one-time)</w:t>
            </w:r>
          </w:p>
        </w:tc>
        <w:tc>
          <w:tcPr>
            <w:tcW w:type="dxa" w:w="4703"/>
          </w:tcPr>
          <w:p>
            <w:r>
              <w:t>500 (one-time)</w:t>
            </w:r>
          </w:p>
        </w:tc>
      </w:tr>
      <w:tr>
        <w:tc>
          <w:tcPr>
            <w:tcW w:type="dxa" w:w="4703"/>
          </w:tcPr>
          <w:p>
            <w:r>
              <w:t>Staging Droplet (Sprint-3 opcional)</w:t>
            </w:r>
          </w:p>
        </w:tc>
        <w:tc>
          <w:tcPr>
            <w:tcW w:type="dxa" w:w="4703"/>
          </w:tcPr>
          <w:p>
            <w:r>
              <w:t>24</w:t>
            </w:r>
          </w:p>
        </w:tc>
      </w:tr>
      <w:tr>
        <w:tc>
          <w:tcPr>
            <w:tcW w:type="dxa" w:w="4703"/>
          </w:tcPr>
          <w:p>
            <w:r>
              <w:t>Total OPEX nuevo recurrente</w:t>
            </w:r>
          </w:p>
        </w:tc>
        <w:tc>
          <w:tcPr>
            <w:tcW w:type="dxa" w:w="4703"/>
          </w:tcPr>
          <w:p>
            <w:r>
              <w:t>+$25-50/mes</w:t>
            </w:r>
          </w:p>
        </w:tc>
      </w:tr>
      <w:tr>
        <w:tc>
          <w:tcPr>
            <w:tcW w:type="dxa" w:w="4703"/>
          </w:tcPr>
          <w:p>
            <w:r>
              <w:t>Total one-time</w:t>
            </w:r>
          </w:p>
        </w:tc>
        <w:tc>
          <w:tcPr>
            <w:tcW w:type="dxa" w:w="4703"/>
          </w:tcPr>
          <w:p>
            <w:r>
              <w:t>$3,500-5,500</w:t>
            </w:r>
          </w:p>
        </w:tc>
      </w:tr>
    </w:tbl>
    <w:p>
      <w:pPr>
        <w:pStyle w:val="Heading1"/>
      </w:pPr>
      <w:r>
        <w:t>Cómo medirás el ROI al final de Sprint-4</w:t>
      </w:r>
    </w:p>
    <w:p>
      <w:pPr>
        <w:pStyle w:val="ListBullet"/>
      </w:pPr>
      <w:r>
        <w:rPr>
          <w:b/>
        </w:rPr>
        <w:t xml:space="preserve">Comercial: </w:t>
      </w:r>
      <w:r>
        <w:t>≥ 10 usuarios pago activos. ≥ $90/mes MRR. Retention semanal &gt; 50%.</w:t>
      </w:r>
    </w:p>
    <w:p>
      <w:pPr>
        <w:pStyle w:val="ListBullet"/>
      </w:pPr>
      <w:r>
        <w:rPr>
          <w:b/>
        </w:rPr>
        <w:t xml:space="preserve">Operacional: </w:t>
      </w:r>
      <w:r>
        <w:t>Uptime visible Reader ≥ 99.5% en últimas 4 semanas. Cost por artículo enriquecido ≤ $0.005. Cero incidentes P0 por secretos.</w:t>
      </w:r>
    </w:p>
    <w:p>
      <w:pPr>
        <w:pStyle w:val="ListBullet"/>
      </w:pPr>
      <w:r>
        <w:rPr>
          <w:b/>
        </w:rPr>
        <w:t xml:space="preserve">Calidad: </w:t>
      </w:r>
      <w:r>
        <w:t>≥ 95% de pages publicadas pasan revisión humana sample. Cero reclamos formales de outlets por reproducción de hechos.</w:t>
      </w:r>
    </w:p>
    <w:p>
      <w:pPr>
        <w:pStyle w:val="ListBullet"/>
      </w:pPr>
      <w:r>
        <w:rPr>
          <w:b/>
        </w:rPr>
        <w:t xml:space="preserve">Cumplimiento: </w:t>
      </w:r>
      <w:r>
        <w:t>Privacy policy publicada. DSAR endpoint funcional. Pentest completado sin findings Críticos.</w:t>
      </w:r>
    </w:p>
    <w:p>
      <w:pPr>
        <w:pStyle w:val="ListBullet"/>
      </w:pPr>
      <w:r>
        <w:rPr>
          <w:b/>
        </w:rPr>
        <w:t xml:space="preserve">Velocidad de iteración: </w:t>
      </w:r>
      <w:r>
        <w:t>PR-to-prod &lt; 1 hora. Mean time to recover de incidentes &lt; 30 min.</w:t>
      </w:r>
    </w:p>
    <w:p>
      <w:pPr>
        <w:pStyle w:val="Heading1"/>
      </w:pPr>
      <w:r>
        <w:t>Riesgos del plan (qué podría salir mal)</w:t>
      </w:r>
    </w:p>
    <w:p>
      <w:pPr>
        <w:pStyle w:val="ListBullet"/>
      </w:pPr>
      <w:r>
        <w:rPr>
          <w:b/>
        </w:rPr>
        <w:t xml:space="preserve">Anthropic sube precios o Haiku se discontinúa (Baja, alto impacto): </w:t>
      </w:r>
      <w:r>
        <w:t>Curator está diseñado para swap LLM en una línea de config. Fallback a Gemini Flash documentado.</w:t>
      </w:r>
    </w:p>
    <w:p>
      <w:pPr>
        <w:pStyle w:val="ListBullet"/>
      </w:pPr>
      <w:r>
        <w:rPr>
          <w:b/>
        </w:rPr>
        <w:t xml:space="preserve">Outlets implementan paywalls duros / WAFs anti-scraping (Media, medio impacto): </w:t>
      </w:r>
      <w:r>
        <w:t>Diversificación: 12+ outlets ya configurados. Tradeoff: si &gt; 30% caen, conversación con outlets sobre licensing.</w:t>
      </w:r>
    </w:p>
    <w:p>
      <w:pPr>
        <w:pStyle w:val="ListBullet"/>
      </w:pPr>
      <w:r>
        <w:rPr>
          <w:b/>
        </w:rPr>
        <w:t xml:space="preserve">Equipo de ingeniería pierde capacity (1 dev en lugar de 2) (Media): </w:t>
      </w:r>
      <w:r>
        <w:t>Sprint-4 es descopable (IB-24, IB-17, IB-28 son opcionales). Sprint-2 y Sprint-3 deben ejecutarse aunque sea con 1 dev.</w:t>
      </w:r>
    </w:p>
    <w:p>
      <w:pPr>
        <w:pStyle w:val="ListBullet"/>
      </w:pPr>
      <w:r>
        <w:rPr>
          <w:b/>
        </w:rPr>
        <w:t xml:space="preserve">Stripe rechaza la cuenta de DR (Baja): </w:t>
      </w:r>
      <w:r>
        <w:t>Plan B: Lemon Squeezy o Paddle (ambos soportan DR-based business).</w:t>
      </w:r>
    </w:p>
    <w:p>
      <w:pPr>
        <w:pStyle w:val="ListBullet"/>
      </w:pPr>
      <w:r>
        <w:rPr>
          <w:b/>
        </w:rPr>
        <w:t xml:space="preserve">Ningún paying user en Sprint-4 (Media): </w:t>
      </w:r>
      <w:r>
        <w:t>Indica problema de marketing o product-market fit, no técnico. La arquitectura permite pivotar el ICP sin reescribir el pipeline.</w:t>
      </w:r>
    </w:p>
    <w:p>
      <w:pPr>
        <w:pStyle w:val="Heading1"/>
      </w:pPr>
      <w:r>
        <w:t>Decisión solicitada</w:t>
      </w:r>
    </w:p>
    <w:p>
      <w:r>
        <w:t>Aprobación del backlog y compromiso de capacity de 2 ingenieros por 6 semanas. El detalle ejecutable está en backlog.xlsx (priorización + plan por sprint) y las 31 historias individuales en docs/architecture/backlog/.</w:t>
      </w:r>
    </w:p>
    <w:p>
      <w:r>
        <w:t>El siguiente checkpoint es Sprint-2 review (T+14 días), donde validaremos que los 12 items críticos estén cerrados y que la base operacional soporte cobrar al primer usuario.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