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Estrategia Técnica de Arquitectura</w:t>
      </w:r>
    </w:p>
    <w:p>
      <w:pPr>
        <w:jc w:val="center"/>
      </w:pPr>
      <w:r>
        <w:rPr>
          <w:i/>
          <w:sz w:val="28"/>
        </w:rPr>
        <w:t>InkBytes — backlog priorizado para Sprint-2 · 3 · 4</w:t>
      </w:r>
    </w:p>
    <w:p>
      <w:pPr>
        <w:jc w:val="center"/>
      </w:pPr>
      <w:r>
        <w:rPr>
          <w:i/>
        </w:rPr>
        <w:t>Audiencia interna · Equipo de ingeniería</w:t>
        <w:br/>
      </w:r>
      <w:r>
        <w:rPr>
          <w:i/>
        </w:rPr>
        <w:t>Versión 1.0 · 2026-06-02 · Owner: Julián de la Rosa</w:t>
      </w:r>
    </w:p>
    <w:p>
      <w:r>
        <w:br w:type="page"/>
      </w:r>
    </w:p>
    <w:p>
      <w:pPr>
        <w:pStyle w:val="Heading1"/>
      </w:pPr>
      <w:r>
        <w:t>1. Resumen ejecutivo (técnico)</w:t>
      </w:r>
    </w:p>
    <w:p>
      <w:r>
        <w:t>Este documento justifica la priorización de las 31 historias del backlog de mejoras arquitectónicas que cubrirán Sprint-2, Sprint-3 y Sprint-4 (6 semanas post-ship de v0). La fuente única de verdad de cada historia es el archivo Markdown correspondiente en docs/architecture/backlog/ y la matriz de priorización vive en backlog.xlsx.</w:t>
      </w:r>
    </w:p>
    <w:p>
      <w:r>
        <w:t>El criterio dominante es: cerrar primero los riesgos críticos del risk register (R-009 secretos, R-001 hallucination, R-011 mismatch pgvector), después construir la base de observabilidad/CI/CD que multiplica la velocidad del equipo, y por último abrir el producto al público (auth, billing, HA).</w:t>
      </w:r>
    </w:p>
    <w:p>
      <w:pPr>
        <w:pStyle w:val="Heading1"/>
      </w:pPr>
      <w:r>
        <w:t>2. Principios rectores</w:t>
      </w:r>
    </w:p>
    <w:p>
      <w:pPr>
        <w:pStyle w:val="ListBullet"/>
      </w:pPr>
      <w:r>
        <w:rPr>
          <w:b/>
        </w:rPr>
        <w:t xml:space="preserve">Riesgo antes que feature: </w:t>
      </w:r>
      <w:r>
        <w:t>Cualquier item ligado a un riesgo de severidad Alta o Crítica del risk register precede a cualquier feature de producto, sin excepción.</w:t>
      </w:r>
    </w:p>
    <w:p>
      <w:pPr>
        <w:pStyle w:val="ListBullet"/>
      </w:pPr>
      <w:r>
        <w:rPr>
          <w:b/>
        </w:rPr>
        <w:t xml:space="preserve">Una decisión, un ADR: </w:t>
      </w:r>
      <w:r>
        <w:t>Cada cambio arquitectónico no trivial se documenta en un ADR antes de implementarse. El backlog ya incluye los ADRs propuestos.</w:t>
      </w:r>
    </w:p>
    <w:p>
      <w:pPr>
        <w:pStyle w:val="ListBullet"/>
      </w:pPr>
      <w:r>
        <w:rPr>
          <w:b/>
        </w:rPr>
        <w:t xml:space="preserve">Contratos primero: </w:t>
      </w:r>
      <w:r>
        <w:t>Los esquemas RabbitMQ y API entre servicios son la frontera explícita. Cambios en contratos siguen el protocolo de evolución (IB-48).</w:t>
      </w:r>
    </w:p>
    <w:p>
      <w:pPr>
        <w:pStyle w:val="ListBullet"/>
      </w:pPr>
      <w:r>
        <w:rPr>
          <w:b/>
        </w:rPr>
        <w:t xml:space="preserve">Observabilidad antes que optimización: </w:t>
      </w:r>
      <w:r>
        <w:t>No tunear lo que no se mide. Por eso OpenTelemetry + Prometheus están en Sprint-3, antes de tuning específico.</w:t>
      </w:r>
    </w:p>
    <w:p>
      <w:pPr>
        <w:pStyle w:val="ListBullet"/>
      </w:pPr>
      <w:r>
        <w:rPr>
          <w:b/>
        </w:rPr>
        <w:t xml:space="preserve">Pragmatismo sobre purismo: </w:t>
      </w:r>
      <w:r>
        <w:t>Curator colapsa Entopics+Synochi+Unitas en v0 (ADR CUR-0001) porque tres servicios en una semana no es realizable. La separación se hará cuando la quality bar lo exija, no por elegancia.</w:t>
      </w:r>
    </w:p>
    <w:p>
      <w:pPr>
        <w:pStyle w:val="Heading1"/>
      </w:pPr>
      <w:r>
        <w:t>3. Plan por sprint</w:t>
      </w:r>
    </w:p>
    <w:p>
      <w:pPr>
        <w:pStyle w:val="Heading2"/>
      </w:pPr>
      <w:r>
        <w:t>Sprint-2 — Hardening (2 semanas, 36 pts)</w:t>
      </w:r>
    </w:p>
    <w:p>
      <w:r>
        <w:t>Foco: cerrar los riesgos críticos antes de invitar al primer usuario pago. Si esta lista no se completa, v0 no es promotable a producción con cobros reales.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ID</w:t>
            </w:r>
          </w:p>
        </w:tc>
        <w:tc>
          <w:tcPr>
            <w:tcW w:type="dxa" w:w="2493"/>
          </w:tcPr>
          <w:p>
            <w:r>
              <w:rPr>
                <w:b/>
              </w:rPr>
              <w:t>Historia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Pts</w:t>
            </w:r>
          </w:p>
        </w:tc>
        <w:tc>
          <w:tcPr>
            <w:tcW w:type="dxa" w:w="2493"/>
          </w:tcPr>
          <w:p>
            <w:r>
              <w:rPr>
                <w:b/>
              </w:rPr>
              <w:t>Riesgo / Nota</w:t>
            </w:r>
          </w:p>
        </w:tc>
      </w:tr>
      <w:tr>
        <w:tc>
          <w:tcPr>
            <w:tcW w:type="dxa" w:w="2493"/>
          </w:tcPr>
          <w:p>
            <w:r>
              <w:t>IB-12</w:t>
            </w:r>
          </w:p>
        </w:tc>
        <w:tc>
          <w:tcPr>
            <w:tcW w:type="dxa" w:w="2493"/>
          </w:tcPr>
          <w:p>
            <w:r>
              <w:t>Rotate all legacy production-looking tokens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R-009</w:t>
            </w:r>
          </w:p>
        </w:tc>
      </w:tr>
      <w:tr>
        <w:tc>
          <w:tcPr>
            <w:tcW w:type="dxa" w:w="2493"/>
          </w:tcPr>
          <w:p>
            <w:r>
              <w:t>IB-13</w:t>
            </w:r>
          </w:p>
        </w:tc>
        <w:tc>
          <w:tcPr>
            <w:tcW w:type="dxa" w:w="2493"/>
          </w:tcPr>
          <w:p>
            <w:r>
              <w:t>Scrub leaked tokens from git history</w:t>
            </w:r>
          </w:p>
        </w:tc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R-009</w:t>
            </w:r>
          </w:p>
        </w:tc>
      </w:tr>
      <w:tr>
        <w:tc>
          <w:tcPr>
            <w:tcW w:type="dxa" w:w="2493"/>
          </w:tcPr>
          <w:p>
            <w:r>
              <w:t>IB-14</w:t>
            </w:r>
          </w:p>
        </w:tc>
        <w:tc>
          <w:tcPr>
            <w:tcW w:type="dxa" w:w="2493"/>
          </w:tcPr>
          <w:p>
            <w:r>
              <w:t>Install pre-commit secret scanner (gitleaks)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R-009</w:t>
            </w:r>
          </w:p>
        </w:tc>
      </w:tr>
      <w:tr>
        <w:tc>
          <w:tcPr>
            <w:tcW w:type="dxa" w:w="2493"/>
          </w:tcPr>
          <w:p>
            <w:r>
              <w:t>IB-15</w:t>
            </w:r>
          </w:p>
        </w:tc>
        <w:tc>
          <w:tcPr>
            <w:tcW w:type="dxa" w:w="2493"/>
          </w:tcPr>
          <w:p>
            <w:r>
              <w:t>Enable GitHub secret scanning + push protection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R-009</w:t>
            </w:r>
          </w:p>
        </w:tc>
      </w:tr>
      <w:tr>
        <w:tc>
          <w:tcPr>
            <w:tcW w:type="dxa" w:w="2493"/>
          </w:tcPr>
          <w:p>
            <w:r>
              <w:t>IB-18</w:t>
            </w:r>
          </w:p>
        </w:tc>
        <w:tc>
          <w:tcPr>
            <w:tcW w:type="dxa" w:w="2493"/>
          </w:tcPr>
          <w:p>
            <w:r>
              <w:t>Production Dockerfile + health endpoints for both services</w:t>
            </w:r>
          </w:p>
        </w:tc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R-005</w:t>
            </w:r>
          </w:p>
        </w:tc>
      </w:tr>
      <w:tr>
        <w:tc>
          <w:tcPr>
            <w:tcW w:type="dxa" w:w="2493"/>
          </w:tcPr>
          <w:p>
            <w:r>
              <w:t>IB-19</w:t>
            </w:r>
          </w:p>
        </w:tc>
        <w:tc>
          <w:tcPr>
            <w:tcW w:type="dxa" w:w="2493"/>
          </w:tcPr>
          <w:p>
            <w:r>
              <w:t>Tenacity retry wrapper around outbound HTTP</w:t>
            </w:r>
          </w:p>
        </w:tc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R-002,R-003</w:t>
            </w:r>
          </w:p>
        </w:tc>
      </w:tr>
      <w:tr>
        <w:tc>
          <w:tcPr>
            <w:tcW w:type="dxa" w:w="2493"/>
          </w:tcPr>
          <w:p>
            <w:r>
              <w:t>IB-20</w:t>
            </w:r>
          </w:p>
        </w:tc>
        <w:tc>
          <w:tcPr>
            <w:tcW w:type="dxa" w:w="2493"/>
          </w:tcPr>
          <w:p>
            <w:r>
              <w:t>Per-outlet circuit breaker in Messor</w:t>
            </w:r>
          </w:p>
        </w:tc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R-002</w:t>
            </w:r>
          </w:p>
        </w:tc>
      </w:tr>
      <w:tr>
        <w:tc>
          <w:tcPr>
            <w:tcW w:type="dxa" w:w="2493"/>
          </w:tcPr>
          <w:p>
            <w:r>
              <w:t>IB-21</w:t>
            </w:r>
          </w:p>
        </w:tc>
        <w:tc>
          <w:tcPr>
            <w:tcW w:type="dxa" w:w="2493"/>
          </w:tcPr>
          <w:p>
            <w:r>
              <w:t>LLM cost guard per cycle</w:t>
            </w:r>
          </w:p>
        </w:tc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R-003</w:t>
            </w:r>
          </w:p>
        </w:tc>
      </w:tr>
      <w:tr>
        <w:tc>
          <w:tcPr>
            <w:tcW w:type="dxa" w:w="2493"/>
          </w:tcPr>
          <w:p>
            <w:r>
              <w:t>IB-22</w:t>
            </w:r>
          </w:p>
        </w:tc>
        <w:tc>
          <w:tcPr>
            <w:tcW w:type="dxa" w:w="2493"/>
          </w:tcPr>
          <w:p>
            <w:r>
              <w:t>Queue workers as docker services with restart=always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R-008</w:t>
            </w:r>
          </w:p>
        </w:tc>
      </w:tr>
      <w:tr>
        <w:tc>
          <w:tcPr>
            <w:tcW w:type="dxa" w:w="2493"/>
          </w:tcPr>
          <w:p>
            <w:r>
              <w:t>IB-25</w:t>
            </w:r>
          </w:p>
        </w:tc>
        <w:tc>
          <w:tcPr>
            <w:tcW w:type="dxa" w:w="2493"/>
          </w:tcPr>
          <w:p>
            <w:r>
              <w:t>Reset pgvector dimension to 1024 (bge-m3)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R-011</w:t>
            </w:r>
          </w:p>
        </w:tc>
      </w:tr>
      <w:tr>
        <w:tc>
          <w:tcPr>
            <w:tcW w:type="dxa" w:w="2493"/>
          </w:tcPr>
          <w:p>
            <w:r>
              <w:t>IB-35</w:t>
            </w:r>
          </w:p>
        </w:tc>
        <w:tc>
          <w:tcPr>
            <w:tcW w:type="dxa" w:w="2493"/>
          </w:tcPr>
          <w:p>
            <w:r>
              <w:t>.do/app.yaml for DO App Platform autodeploy</w:t>
            </w:r>
          </w:p>
        </w:tc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Was-INK-8</w:t>
            </w:r>
          </w:p>
        </w:tc>
      </w:tr>
      <w:tr>
        <w:tc>
          <w:tcPr>
            <w:tcW w:type="dxa" w:w="2493"/>
          </w:tcPr>
          <w:p>
            <w:r>
              <w:t>IB-36</w:t>
            </w:r>
          </w:p>
        </w:tc>
        <w:tc>
          <w:tcPr>
            <w:tcW w:type="dxa" w:w="2493"/>
          </w:tcPr>
          <w:p>
            <w:r>
              <w:t>CI pipeline (lint + test + image build)</w:t>
            </w:r>
          </w:p>
        </w:tc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Was-INK-9</w:t>
            </w:r>
          </w:p>
        </w:tc>
      </w:tr>
      <w:tr>
        <w:tc>
          <w:tcPr>
            <w:tcW w:type="dxa" w:w="2493"/>
          </w:tcPr>
          <w:p>
            <w:r>
              <w:t>IB-37</w:t>
            </w:r>
          </w:p>
        </w:tc>
        <w:tc>
          <w:tcPr>
            <w:tcW w:type="dxa" w:w="2493"/>
          </w:tcPr>
          <w:p>
            <w:r>
              <w:t>One-command rollback runbook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R-005</w:t>
            </w:r>
          </w:p>
        </w:tc>
      </w:tr>
      <w:tr>
        <w:tc>
          <w:tcPr>
            <w:tcW w:type="dxa" w:w="2493"/>
          </w:tcPr>
          <w:p>
            <w:r>
              <w:t>IB-45</w:t>
            </w:r>
          </w:p>
        </w:tc>
        <w:tc>
          <w:tcPr>
            <w:tcW w:type="dxa" w:w="2493"/>
          </w:tcPr>
          <w:p>
            <w:r>
              <w:t>Lock inkbytes.article.v1 schema in packages/contracts/</w:t>
            </w:r>
          </w:p>
        </w:tc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Was-INK-7</w:t>
            </w:r>
          </w:p>
        </w:tc>
      </w:tr>
    </w:tbl>
    <w:p>
      <w:pPr>
        <w:pStyle w:val="Heading2"/>
      </w:pPr>
      <w:r>
        <w:t>Sprint-3 — Calidad + Observabilidad (2 semanas, 31 pts)</w:t>
      </w:r>
    </w:p>
    <w:p>
      <w:r>
        <w:t>Foco: meter visibilidad operacional y elevar la calidad del output del LLM. OpenTelemetry + Prometheus + Sentry juntos cierran la era de "adivinar" qué está pasando. El two-pass fact-check (IB-30) es el cambio de mayor impacto en credibilidad del producto.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ID</w:t>
            </w:r>
          </w:p>
        </w:tc>
        <w:tc>
          <w:tcPr>
            <w:tcW w:type="dxa" w:w="2493"/>
          </w:tcPr>
          <w:p>
            <w:r>
              <w:rPr>
                <w:b/>
              </w:rPr>
              <w:t>Historia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Pts</w:t>
            </w:r>
          </w:p>
        </w:tc>
        <w:tc>
          <w:tcPr>
            <w:tcW w:type="dxa" w:w="2493"/>
          </w:tcPr>
          <w:p>
            <w:r>
              <w:rPr>
                <w:b/>
              </w:rPr>
              <w:t>Riesgo / Nota</w:t>
            </w:r>
          </w:p>
        </w:tc>
      </w:tr>
      <w:tr>
        <w:tc>
          <w:tcPr>
            <w:tcW w:type="dxa" w:w="2493"/>
          </w:tcPr>
          <w:p>
            <w:r>
              <w:t>IB-16</w:t>
            </w:r>
          </w:p>
        </w:tc>
        <w:tc>
          <w:tcPr>
            <w:tcW w:type="dxa" w:w="2493"/>
          </w:tcPr>
          <w:p>
            <w:r>
              <w:t>Move RabbitMQ from user/pass to TLS-cert auth</w:t>
            </w:r>
          </w:p>
        </w:tc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R-009</w:t>
            </w:r>
          </w:p>
        </w:tc>
      </w:tr>
      <w:tr>
        <w:tc>
          <w:tcPr>
            <w:tcW w:type="dxa" w:w="2493"/>
          </w:tcPr>
          <w:p>
            <w:r>
              <w:t>IB-23</w:t>
            </w:r>
          </w:p>
        </w:tc>
        <w:tc>
          <w:tcPr>
            <w:tcW w:type="dxa" w:w="2493"/>
          </w:tcPr>
          <w:p>
            <w:r>
              <w:t>DO Managed Postgres restore drill (monthly)</w:t>
            </w:r>
          </w:p>
        </w:tc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R-004</w:t>
            </w:r>
          </w:p>
        </w:tc>
      </w:tr>
      <w:tr>
        <w:tc>
          <w:tcPr>
            <w:tcW w:type="dxa" w:w="2493"/>
          </w:tcPr>
          <w:p>
            <w:r>
              <w:t>IB-26</w:t>
            </w:r>
          </w:p>
        </w:tc>
        <w:tc>
          <w:tcPr>
            <w:tcW w:type="dxa" w:w="2493"/>
          </w:tcPr>
          <w:p>
            <w:r>
              <w:t>Schema migrations runner</w:t>
            </w:r>
          </w:p>
        </w:tc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R-011-followup</w:t>
            </w:r>
          </w:p>
        </w:tc>
      </w:tr>
      <w:tr>
        <w:tc>
          <w:tcPr>
            <w:tcW w:type="dxa" w:w="2493"/>
          </w:tcPr>
          <w:p>
            <w:r>
              <w:t>IB-29</w:t>
            </w:r>
          </w:p>
        </w:tc>
        <w:tc>
          <w:tcPr>
            <w:tcW w:type="dxa" w:w="2493"/>
          </w:tcPr>
          <w:p>
            <w:r>
              <w:t>Article retention + archival policy</w:t>
            </w:r>
          </w:p>
        </w:tc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R-006</w:t>
            </w:r>
          </w:p>
        </w:tc>
      </w:tr>
      <w:tr>
        <w:tc>
          <w:tcPr>
            <w:tcW w:type="dxa" w:w="2493"/>
          </w:tcPr>
          <w:p>
            <w:r>
              <w:t>IB-30</w:t>
            </w:r>
          </w:p>
        </w:tc>
        <w:tc>
          <w:tcPr>
            <w:tcW w:type="dxa" w:w="2493"/>
          </w:tcPr>
          <w:p>
            <w:r>
              <w:t>Two-pass fact-check on SYNTHESIZE output</w:t>
            </w:r>
          </w:p>
        </w:tc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R-001</w:t>
            </w:r>
          </w:p>
        </w:tc>
      </w:tr>
      <w:tr>
        <w:tc>
          <w:tcPr>
            <w:tcW w:type="dxa" w:w="2493"/>
          </w:tcPr>
          <w:p>
            <w:r>
              <w:t>IB-31</w:t>
            </w:r>
          </w:p>
        </w:tc>
        <w:tc>
          <w:tcPr>
            <w:tcW w:type="dxa" w:w="2493"/>
          </w:tcPr>
          <w:p>
            <w:r>
              <w:t>Per-claim provenance markers in synthesis_md</w:t>
            </w:r>
          </w:p>
        </w:tc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R-001</w:t>
            </w:r>
          </w:p>
        </w:tc>
      </w:tr>
      <w:tr>
        <w:tc>
          <w:tcPr>
            <w:tcW w:type="dxa" w:w="2493"/>
          </w:tcPr>
          <w:p>
            <w:r>
              <w:t>IB-32</w:t>
            </w:r>
          </w:p>
        </w:tc>
        <w:tc>
          <w:tcPr>
            <w:tcW w:type="dxa" w:w="2493"/>
          </w:tcPr>
          <w:p>
            <w:r>
              <w:t>Cluster quality evaluation dataset (100 hand-labeled events)</w:t>
            </w:r>
          </w:p>
        </w:tc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R-007</w:t>
            </w:r>
          </w:p>
        </w:tc>
      </w:tr>
      <w:tr>
        <w:tc>
          <w:tcPr>
            <w:tcW w:type="dxa" w:w="2493"/>
          </w:tcPr>
          <w:p>
            <w:r>
              <w:t>IB-33</w:t>
            </w:r>
          </w:p>
        </w:tc>
        <w:tc>
          <w:tcPr>
            <w:tcW w:type="dxa" w:w="2493"/>
          </w:tcPr>
          <w:p>
            <w:r>
              <w:t>Prompt replay test harness</w:t>
            </w:r>
          </w:p>
        </w:tc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R-001</w:t>
            </w:r>
          </w:p>
        </w:tc>
      </w:tr>
      <w:tr>
        <w:tc>
          <w:tcPr>
            <w:tcW w:type="dxa" w:w="2493"/>
          </w:tcPr>
          <w:p>
            <w:r>
              <w:t>IB-34</w:t>
            </w:r>
          </w:p>
        </w:tc>
        <w:tc>
          <w:tcPr>
            <w:tcW w:type="dxa" w:w="2493"/>
          </w:tcPr>
          <w:p>
            <w:r>
              <w:t>Lock brand voice for SYNTHESIZE prompt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R-013</w:t>
            </w:r>
          </w:p>
        </w:tc>
      </w:tr>
      <w:tr>
        <w:tc>
          <w:tcPr>
            <w:tcW w:type="dxa" w:w="2493"/>
          </w:tcPr>
          <w:p>
            <w:r>
              <w:t>IB-38</w:t>
            </w:r>
          </w:p>
        </w:tc>
        <w:tc>
          <w:tcPr>
            <w:tcW w:type="dxa" w:w="2493"/>
          </w:tcPr>
          <w:p>
            <w:r>
              <w:t>Staging environment with mirror config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IB-39</w:t>
            </w:r>
          </w:p>
        </w:tc>
        <w:tc>
          <w:tcPr>
            <w:tcW w:type="dxa" w:w="2493"/>
          </w:tcPr>
          <w:p>
            <w:r>
              <w:t>7-day staging soak as ship-gate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Was-INK-10</w:t>
            </w:r>
          </w:p>
        </w:tc>
      </w:tr>
      <w:tr>
        <w:tc>
          <w:tcPr>
            <w:tcW w:type="dxa" w:w="2493"/>
          </w:tcPr>
          <w:p>
            <w:r>
              <w:t>IB-40</w:t>
            </w:r>
          </w:p>
        </w:tc>
        <w:tc>
          <w:tcPr>
            <w:tcW w:type="dxa" w:w="2493"/>
          </w:tcPr>
          <w:p>
            <w:r>
              <w:t>Better Stack log aggregation (free tier)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IB-41</w:t>
            </w:r>
          </w:p>
        </w:tc>
        <w:tc>
          <w:tcPr>
            <w:tcW w:type="dxa" w:w="2493"/>
          </w:tcPr>
          <w:p>
            <w:r>
              <w:t>OpenTelemetry tracing across services</w:t>
            </w:r>
          </w:p>
        </w:tc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IB-42</w:t>
            </w:r>
          </w:p>
        </w:tc>
        <w:tc>
          <w:tcPr>
            <w:tcW w:type="dxa" w:w="2493"/>
          </w:tcPr>
          <w:p>
            <w:r>
              <w:t>Prometheus metrics on every FastAPI service</w:t>
            </w:r>
          </w:p>
        </w:tc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IB-44</w:t>
            </w:r>
          </w:p>
        </w:tc>
        <w:tc>
          <w:tcPr>
            <w:tcW w:type="dxa" w:w="2493"/>
          </w:tcPr>
          <w:p>
            <w:r>
              <w:t>Sentry error tracking (free tier)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IB-46</w:t>
            </w:r>
          </w:p>
        </w:tc>
        <w:tc>
          <w:tcPr>
            <w:tcW w:type="dxa" w:w="2493"/>
          </w:tcPr>
          <w:p>
            <w:r>
              <w:t>Lock inkbytes.session.v1 schema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Platform-0006</w:t>
            </w:r>
          </w:p>
        </w:tc>
      </w:tr>
      <w:tr>
        <w:tc>
          <w:tcPr>
            <w:tcW w:type="dxa" w:w="2493"/>
          </w:tcPr>
          <w:p>
            <w:r>
              <w:t>IB-47</w:t>
            </w:r>
          </w:p>
        </w:tc>
        <w:tc>
          <w:tcPr>
            <w:tcW w:type="dxa" w:w="2493"/>
          </w:tcPr>
          <w:p>
            <w:r>
              <w:t>Lock PageV1 contract for Reader consumption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IB-48</w:t>
            </w:r>
          </w:p>
        </w:tc>
        <w:tc>
          <w:tcPr>
            <w:tcW w:type="dxa" w:w="2493"/>
          </w:tcPr>
          <w:p>
            <w:r>
              <w:t>Schema evolution protocol document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Platform-0011</w:t>
            </w:r>
          </w:p>
        </w:tc>
      </w:tr>
    </w:tbl>
    <w:p>
      <w:pPr>
        <w:pStyle w:val="Heading2"/>
      </w:pPr>
      <w:r>
        <w:t>Sprint-4 — Escala + Producto (2 semanas, 28 pts)</w:t>
      </w:r>
    </w:p>
    <w:p>
      <w:r>
        <w:t>Foco: pasar de "demo invitada" a "producto cobrable". Magic-link auth + Stripe + privacy/DSAR habilitan el primer onboarding masivo. HA opcional (IB-24) y pentest (IB-17) son defensivos: solo se hacen si los datos de Sprint-2/3 muestran que el tráfico lo demanda.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ID</w:t>
            </w:r>
          </w:p>
        </w:tc>
        <w:tc>
          <w:tcPr>
            <w:tcW w:type="dxa" w:w="2493"/>
          </w:tcPr>
          <w:p>
            <w:r>
              <w:rPr>
                <w:b/>
              </w:rPr>
              <w:t>Historia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Pts</w:t>
            </w:r>
          </w:p>
        </w:tc>
        <w:tc>
          <w:tcPr>
            <w:tcW w:type="dxa" w:w="2493"/>
          </w:tcPr>
          <w:p>
            <w:r>
              <w:rPr>
                <w:b/>
              </w:rPr>
              <w:t>Riesgo / Nota</w:t>
            </w:r>
          </w:p>
        </w:tc>
      </w:tr>
      <w:tr>
        <w:tc>
          <w:tcPr>
            <w:tcW w:type="dxa" w:w="2493"/>
          </w:tcPr>
          <w:p>
            <w:r>
              <w:t>IB-17</w:t>
            </w:r>
          </w:p>
        </w:tc>
        <w:tc>
          <w:tcPr>
            <w:tcW w:type="dxa" w:w="2493"/>
          </w:tcPr>
          <w:p>
            <w:r>
              <w:t>External penetration test before second user cohort</w:t>
            </w:r>
          </w:p>
        </w:tc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R-009</w:t>
            </w:r>
          </w:p>
        </w:tc>
      </w:tr>
      <w:tr>
        <w:tc>
          <w:tcPr>
            <w:tcW w:type="dxa" w:w="2493"/>
          </w:tcPr>
          <w:p>
            <w:r>
              <w:t>IB-24</w:t>
            </w:r>
          </w:p>
        </w:tc>
        <w:tc>
          <w:tcPr>
            <w:tcW w:type="dxa" w:w="2493"/>
          </w:tcPr>
          <w:p>
            <w:r>
              <w:t>Two-Droplet active-active for the Reader (HA path)</w:t>
            </w:r>
          </w:p>
        </w:tc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R-005</w:t>
            </w:r>
          </w:p>
        </w:tc>
      </w:tr>
      <w:tr>
        <w:tc>
          <w:tcPr>
            <w:tcW w:type="dxa" w:w="2493"/>
          </w:tcPr>
          <w:p>
            <w:r>
              <w:t>IB-27</w:t>
            </w:r>
          </w:p>
        </w:tc>
        <w:tc>
          <w:tcPr>
            <w:tcW w:type="dxa" w:w="2493"/>
          </w:tcPr>
          <w:p>
            <w:r>
              <w:t>IVFFlat lists tuning playbook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R-006</w:t>
            </w:r>
          </w:p>
        </w:tc>
      </w:tr>
      <w:tr>
        <w:tc>
          <w:tcPr>
            <w:tcW w:type="dxa" w:w="2493"/>
          </w:tcPr>
          <w:p>
            <w:r>
              <w:t>IB-28</w:t>
            </w:r>
          </w:p>
        </w:tc>
        <w:tc>
          <w:tcPr>
            <w:tcW w:type="dxa" w:w="2493"/>
          </w:tcPr>
          <w:p>
            <w:r>
              <w:t>Split inkbytes package into legacy + contracts</w:t>
            </w:r>
          </w:p>
        </w:tc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R-010</w:t>
            </w:r>
          </w:p>
        </w:tc>
      </w:tr>
      <w:tr>
        <w:tc>
          <w:tcPr>
            <w:tcW w:type="dxa" w:w="2493"/>
          </w:tcPr>
          <w:p>
            <w:r>
              <w:t>IB-43</w:t>
            </w:r>
          </w:p>
        </w:tc>
        <w:tc>
          <w:tcPr>
            <w:tcW w:type="dxa" w:w="2493"/>
          </w:tcPr>
          <w:p>
            <w:r>
              <w:t>Cost &amp; quality dashboard in Backoffice</w:t>
            </w:r>
          </w:p>
        </w:tc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R-003</w:t>
            </w:r>
          </w:p>
        </w:tc>
      </w:tr>
      <w:tr>
        <w:tc>
          <w:tcPr>
            <w:tcW w:type="dxa" w:w="2493"/>
          </w:tcPr>
          <w:p>
            <w:r>
              <w:t>IB-49</w:t>
            </w:r>
          </w:p>
        </w:tc>
        <w:tc>
          <w:tcPr>
            <w:tcW w:type="dxa" w:w="2493"/>
          </w:tcPr>
          <w:p>
            <w:r>
              <w:t>Magic-link email auth (Resend + Lucia)</w:t>
            </w:r>
          </w:p>
        </w:tc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IB-50</w:t>
            </w:r>
          </w:p>
        </w:tc>
        <w:tc>
          <w:tcPr>
            <w:tcW w:type="dxa" w:w="2493"/>
          </w:tcPr>
          <w:p>
            <w:r>
              <w:t>Stripe Checkout + webhook → users.is_paid</w:t>
            </w:r>
          </w:p>
        </w:tc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IB-51</w:t>
            </w:r>
          </w:p>
        </w:tc>
        <w:tc>
          <w:tcPr>
            <w:tcW w:type="dxa" w:w="2493"/>
          </w:tcPr>
          <w:p>
            <w:r>
              <w:t>Free preview vs paid full read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IB-52</w:t>
            </w:r>
          </w:p>
        </w:tc>
        <w:tc>
          <w:tcPr>
            <w:tcW w:type="dxa" w:w="2493"/>
          </w:tcPr>
          <w:p>
            <w:r>
              <w:t>Public API rate limiting per IP and per user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IB-53</w:t>
            </w:r>
          </w:p>
        </w:tc>
        <w:tc>
          <w:tcPr>
            <w:tcW w:type="dxa" w:w="2493"/>
          </w:tcPr>
          <w:p>
            <w:r>
              <w:t>Privacy policy + DSAR endpoint (DR Ley 172-13)</w:t>
            </w:r>
          </w:p>
        </w:tc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/>
          </w:p>
        </w:tc>
      </w:tr>
    </w:tbl>
    <w:p>
      <w:pPr>
        <w:pStyle w:val="Heading1"/>
      </w:pPr>
      <w:r>
        <w:t>4. Decisiones técnicas defendibles</w:t>
      </w:r>
    </w:p>
    <w:p>
      <w:r>
        <w:rPr>
          <w:b/>
        </w:rPr>
        <w:t>¿Por qué tenacity en lugar de un service mesh?</w:t>
      </w:r>
    </w:p>
    <w:p>
      <w:r>
        <w:t>Service mesh (Istio/Linkerd) es overkill para 3 servicios en un Droplet. Tenacity como decorador Python da retries idempotentes en la frontera correcta (la llamada outbound) con ~10 líneas de código por servicio. Migrar a service mesh es una decisión post-100k-articles/día.</w:t>
      </w:r>
    </w:p>
    <w:p>
      <w:r>
        <w:rPr>
          <w:b/>
        </w:rPr>
        <w:t>¿Por qué pgvector en lugar de un vector DB dedicado (Pinecone, Weaviate)?</w:t>
      </w:r>
    </w:p>
    <w:p>
      <w:r>
        <w:t>1 millón de vectores caben sin estrés en una Postgres managed de DO. Tener vectores y metadatos en la misma transacción ACID elimina problemas de consistencia. Migrar es trivial: pgvector exporta a CSV. La decisión se reevalúa cuando rows &gt; 5M o latencia p99 &gt; 200ms.</w:t>
      </w:r>
    </w:p>
    <w:p>
      <w:r>
        <w:rPr>
          <w:b/>
        </w:rPr>
        <w:t>¿Por qué dos pasadas de LLM (synthesize + fact-check) en lugar de RAG estricto?</w:t>
      </w:r>
    </w:p>
    <w:p>
      <w:r>
        <w:t>Las pruebas iniciales con Haiku zero-shot (D3) muestran que el LLM ya cita las fuentes correctamente cuando el prompt lo exige (evidence_rail mandatorio). El fact-check pass es defensivo: penalty barato (~$0.005/page) por una garantía dura contra hallucination. Un RAG strict mode requeriría chunking y reranker, complejidad innecesaria para v0.</w:t>
      </w:r>
    </w:p>
    <w:p>
      <w:r>
        <w:rPr>
          <w:b/>
        </w:rPr>
        <w:t>¿Por qué colapsar Curator en lugar de mantener Entopics+Synochi+Unitas?</w:t>
      </w:r>
    </w:p>
    <w:p>
      <w:r>
        <w:t>Ver ADR CUR-0001. Tres servicios en una semana = ship en ninguno. Las skill boundaries dentro de Curator preservan la opción de separar cuando el volumen lo justifique.</w:t>
      </w:r>
    </w:p>
    <w:p>
      <w:pPr>
        <w:pStyle w:val="Heading1"/>
      </w:pPr>
      <w:r>
        <w:t>5. Capacidad y supuestos</w:t>
      </w:r>
    </w:p>
    <w:p>
      <w:r>
        <w:t>El plan asume 2 ingenieros a tiempo completo durante las 6 semanas, capacity de 30 puntos por sprint y persona × 0.6 (porque hay reuniones y soporte). Total disponible: 30 × 2 × 3 = 180 pts en 6 semanas. El backlog consume 95 pts, dejando ~85 pts (47%) de buffer para incidentes, interrupciones y descubrimientos. Si la capacity baja a 1 ingeniero, Sprint-4 se descopa (IB-24, IB-17, IB-43, IB-27, IB-28 — 16 pts opcionales).</w:t>
      </w:r>
    </w:p>
    <w:p>
      <w:pPr>
        <w:pStyle w:val="Heading1"/>
      </w:pPr>
      <w:r>
        <w:t>6. Definición de éxito al final de Sprint-4</w:t>
      </w:r>
    </w:p>
    <w:p>
      <w:pPr>
        <w:pStyle w:val="ListBullet"/>
      </w:pPr>
      <w:r>
        <w:t>Cero secretos en el repo (CI gates + history scrub aplicado).</w:t>
      </w:r>
    </w:p>
    <w:p>
      <w:pPr>
        <w:pStyle w:val="ListBullet"/>
      </w:pPr>
      <w:r>
        <w:t>Uptime Reader medido ≥ 99.5% en las últimas 4 semanas.</w:t>
      </w:r>
    </w:p>
    <w:p>
      <w:pPr>
        <w:pStyle w:val="ListBullet"/>
      </w:pPr>
      <w:r>
        <w:t>≥ 90% de outlets activos sin entrar en circuit breaker en cualquier período de 7 días.</w:t>
      </w:r>
    </w:p>
    <w:p>
      <w:pPr>
        <w:pStyle w:val="ListBullet"/>
      </w:pPr>
      <w:r>
        <w:t>Cost por día Anthropic ≤ $5 (target) — alerta a $10.</w:t>
      </w:r>
    </w:p>
    <w:p>
      <w:pPr>
        <w:pStyle w:val="ListBullet"/>
      </w:pPr>
      <w:r>
        <w:t>p95 ENRICH &lt; 3 s y p95 SYNTHESIZE &lt; 8 s (medido en Prometheus).</w:t>
      </w:r>
    </w:p>
    <w:p>
      <w:pPr>
        <w:pStyle w:val="ListBullet"/>
      </w:pPr>
      <w:r>
        <w:t>≥ 10 usuarios pago activos, con &gt; 50% retention semanal.</w:t>
      </w:r>
    </w:p>
    <w:p>
      <w:pPr>
        <w:pStyle w:val="ListBullet"/>
      </w:pPr>
      <w:r>
        <w:t>Penetration test completado con cero findings de severidad Crítica.</w:t>
      </w:r>
    </w:p>
    <w:p>
      <w:pPr>
        <w:pStyle w:val="ListBullet"/>
      </w:pPr>
      <w:r>
        <w:t>Privacy policy publicada y endpoint DSAR funcional.</w:t>
      </w:r>
    </w:p>
    <w:p>
      <w:pPr>
        <w:pStyle w:val="Heading1"/>
      </w:pPr>
      <w:r>
        <w:t>7. Apéndice — Riesgos cubiertos por sprint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Riesgo</w:t>
            </w:r>
          </w:p>
        </w:tc>
        <w:tc>
          <w:tcPr>
            <w:tcW w:type="dxa" w:w="4986"/>
          </w:tcPr>
          <w:p>
            <w:r>
              <w:t>Sprints / historias</w:t>
            </w:r>
          </w:p>
        </w:tc>
      </w:tr>
      <w:tr>
        <w:tc>
          <w:tcPr>
            <w:tcW w:type="dxa" w:w="4986"/>
          </w:tcPr>
          <w:p>
            <w:r>
              <w:t>R-009 (secretos)</w:t>
            </w:r>
          </w:p>
        </w:tc>
        <w:tc>
          <w:tcPr>
            <w:tcW w:type="dxa" w:w="4986"/>
          </w:tcPr>
          <w:p>
            <w:r>
              <w:t>Sprint-2 (IB-12 a IB-15) + Sprint-3 (IB-16) + Sprint-4 (IB-17)</w:t>
            </w:r>
          </w:p>
        </w:tc>
      </w:tr>
      <w:tr>
        <w:tc>
          <w:tcPr>
            <w:tcW w:type="dxa" w:w="4986"/>
          </w:tcPr>
          <w:p>
            <w:r>
              <w:t>R-001 (hallucination)</w:t>
            </w:r>
          </w:p>
        </w:tc>
        <w:tc>
          <w:tcPr>
            <w:tcW w:type="dxa" w:w="4986"/>
          </w:tcPr>
          <w:p>
            <w:r>
              <w:t>Sprint-3 (IB-30, IB-31, IB-33)</w:t>
            </w:r>
          </w:p>
        </w:tc>
      </w:tr>
      <w:tr>
        <w:tc>
          <w:tcPr>
            <w:tcW w:type="dxa" w:w="4986"/>
          </w:tcPr>
          <w:p>
            <w:r>
              <w:t>R-002 (outlet bloqueado)</w:t>
            </w:r>
          </w:p>
        </w:tc>
        <w:tc>
          <w:tcPr>
            <w:tcW w:type="dxa" w:w="4986"/>
          </w:tcPr>
          <w:p>
            <w:r>
              <w:t>Sprint-2 (IB-20) + Sprint-3 (parcial IB-32)</w:t>
            </w:r>
          </w:p>
        </w:tc>
      </w:tr>
      <w:tr>
        <w:tc>
          <w:tcPr>
            <w:tcW w:type="dxa" w:w="4986"/>
          </w:tcPr>
          <w:p>
            <w:r>
              <w:t>R-003 (costo LLM)</w:t>
            </w:r>
          </w:p>
        </w:tc>
        <w:tc>
          <w:tcPr>
            <w:tcW w:type="dxa" w:w="4986"/>
          </w:tcPr>
          <w:p>
            <w:r>
              <w:t>Sprint-2 (IB-21) + Sprint-3 (IB-42 visibility) + Sprint-4 (IB-43 dashboard)</w:t>
            </w:r>
          </w:p>
        </w:tc>
      </w:tr>
      <w:tr>
        <w:tc>
          <w:tcPr>
            <w:tcW w:type="dxa" w:w="4986"/>
          </w:tcPr>
          <w:p>
            <w:r>
              <w:t>R-004 (backup restore)</w:t>
            </w:r>
          </w:p>
        </w:tc>
        <w:tc>
          <w:tcPr>
            <w:tcW w:type="dxa" w:w="4986"/>
          </w:tcPr>
          <w:p>
            <w:r>
              <w:t>Sprint-3 (IB-23)</w:t>
            </w:r>
          </w:p>
        </w:tc>
      </w:tr>
      <w:tr>
        <w:tc>
          <w:tcPr>
            <w:tcW w:type="dxa" w:w="4986"/>
          </w:tcPr>
          <w:p>
            <w:r>
              <w:t>R-005 (single Droplet)</w:t>
            </w:r>
          </w:p>
        </w:tc>
        <w:tc>
          <w:tcPr>
            <w:tcW w:type="dxa" w:w="4986"/>
          </w:tcPr>
          <w:p>
            <w:r>
              <w:t>Sprint-2 (mitigación: IB-37) + Sprint-4 (HA: IB-24)</w:t>
            </w:r>
          </w:p>
        </w:tc>
      </w:tr>
      <w:tr>
        <w:tc>
          <w:tcPr>
            <w:tcW w:type="dxa" w:w="4986"/>
          </w:tcPr>
          <w:p>
            <w:r>
              <w:t>R-006 (pgvector tuning)</w:t>
            </w:r>
          </w:p>
        </w:tc>
        <w:tc>
          <w:tcPr>
            <w:tcW w:type="dxa" w:w="4986"/>
          </w:tcPr>
          <w:p>
            <w:r>
              <w:t>Sprint-4 (IB-27)</w:t>
            </w:r>
          </w:p>
        </w:tc>
      </w:tr>
      <w:tr>
        <w:tc>
          <w:tcPr>
            <w:tcW w:type="dxa" w:w="4986"/>
          </w:tcPr>
          <w:p>
            <w:r>
              <w:t>R-007 (cluster 1-source)</w:t>
            </w:r>
          </w:p>
        </w:tc>
        <w:tc>
          <w:tcPr>
            <w:tcW w:type="dxa" w:w="4986"/>
          </w:tcPr>
          <w:p>
            <w:r>
              <w:t>Sprint-3 (IB-32)</w:t>
            </w:r>
          </w:p>
        </w:tc>
      </w:tr>
      <w:tr>
        <w:tc>
          <w:tcPr>
            <w:tcW w:type="dxa" w:w="4986"/>
          </w:tcPr>
          <w:p>
            <w:r>
              <w:t>R-008 (queue workers)</w:t>
            </w:r>
          </w:p>
        </w:tc>
        <w:tc>
          <w:tcPr>
            <w:tcW w:type="dxa" w:w="4986"/>
          </w:tcPr>
          <w:p>
            <w:r>
              <w:t>Sprint-2 (IB-22)</w:t>
            </w:r>
          </w:p>
        </w:tc>
      </w:tr>
      <w:tr>
        <w:tc>
          <w:tcPr>
            <w:tcW w:type="dxa" w:w="4986"/>
          </w:tcPr>
          <w:p>
            <w:r>
              <w:t>R-010 (legacy pkg)</w:t>
            </w:r>
          </w:p>
        </w:tc>
        <w:tc>
          <w:tcPr>
            <w:tcW w:type="dxa" w:w="4986"/>
          </w:tcPr>
          <w:p>
            <w:r>
              <w:t>Sprint-4 (IB-28)</w:t>
            </w:r>
          </w:p>
        </w:tc>
      </w:tr>
      <w:tr>
        <w:tc>
          <w:tcPr>
            <w:tcW w:type="dxa" w:w="4986"/>
          </w:tcPr>
          <w:p>
            <w:r>
              <w:t>R-011 (pgvector dim)</w:t>
            </w:r>
          </w:p>
        </w:tc>
        <w:tc>
          <w:tcPr>
            <w:tcW w:type="dxa" w:w="4986"/>
          </w:tcPr>
          <w:p>
            <w:r>
              <w:t>Sprint-2 (IB-25) — debe hacerse antes de v0 ideally</w:t>
            </w:r>
          </w:p>
        </w:tc>
      </w:tr>
      <w:tr>
        <w:tc>
          <w:tcPr>
            <w:tcW w:type="dxa" w:w="4986"/>
          </w:tcPr>
          <w:p>
            <w:r>
              <w:t>R-013 (brand voice)</w:t>
            </w:r>
          </w:p>
        </w:tc>
        <w:tc>
          <w:tcPr>
            <w:tcW w:type="dxa" w:w="4986"/>
          </w:tcPr>
          <w:p>
            <w:r>
              <w:t>Sprint-3 (IB-34)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