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7633" w14:textId="0DE493F8" w:rsidR="00384480" w:rsidRPr="00384480" w:rsidRDefault="00384480" w:rsidP="00384480">
      <w:pPr>
        <w:widowControl/>
        <w:jc w:val="left"/>
        <w:rPr>
          <w:rFonts w:ascii="宋体" w:eastAsia="宋体" w:hAnsi="宋体" w:cs="宋体"/>
        </w:rPr>
      </w:pPr>
    </w:p>
    <w:p w14:paraId="3B4F61D6" w14:textId="77777777" w:rsidR="00384480" w:rsidRPr="00384480" w:rsidRDefault="00384480" w:rsidP="00384480">
      <w:pPr>
        <w:widowControl/>
        <w:spacing w:line="330" w:lineRule="atLeast"/>
        <w:jc w:val="left"/>
        <w:rPr>
          <w:rFonts w:ascii="PingFang SC" w:eastAsia="宋体" w:hAnsi="PingFang SC" w:cs="宋体"/>
          <w:color w:val="000000"/>
          <w:spacing w:val="30"/>
        </w:rPr>
      </w:pPr>
      <w:r w:rsidRPr="00384480">
        <w:rPr>
          <w:rFonts w:ascii="PingFang SC" w:eastAsia="宋体" w:hAnsi="PingFang SC" w:cs="宋体"/>
          <w:b/>
          <w:bCs/>
          <w:color w:val="000000"/>
          <w:spacing w:val="30"/>
        </w:rPr>
        <w:t>调剂流程</w:t>
      </w:r>
      <w:r w:rsidRPr="00384480">
        <w:rPr>
          <w:rFonts w:ascii="PingFang SC" w:eastAsia="宋体" w:hAnsi="PingFang SC" w:cs="宋体"/>
          <w:b/>
          <w:bCs/>
          <w:color w:val="000000"/>
          <w:spacing w:val="30"/>
        </w:rPr>
        <w:t>&amp;</w:t>
      </w:r>
      <w:r w:rsidRPr="00384480">
        <w:rPr>
          <w:rFonts w:ascii="PingFang SC" w:eastAsia="宋体" w:hAnsi="PingFang SC" w:cs="宋体"/>
          <w:b/>
          <w:bCs/>
          <w:color w:val="000000"/>
          <w:spacing w:val="30"/>
        </w:rPr>
        <w:t>时间</w:t>
      </w:r>
    </w:p>
    <w:p w14:paraId="19B0A36E" w14:textId="77777777" w:rsidR="00384480" w:rsidRDefault="00384480" w:rsidP="00384480">
      <w:pPr>
        <w:widowControl/>
        <w:shd w:val="clear" w:color="auto" w:fill="FFFFFF"/>
        <w:spacing w:line="420" w:lineRule="atLeast"/>
        <w:ind w:right="120"/>
        <w:rPr>
          <w:rFonts w:ascii="宋体" w:eastAsia="宋体" w:hAnsi="宋体" w:cs="宋体"/>
        </w:rPr>
      </w:pPr>
    </w:p>
    <w:p w14:paraId="308BAAB3" w14:textId="28993C72" w:rsidR="00384480" w:rsidRPr="00384480" w:rsidRDefault="00384480" w:rsidP="00384480">
      <w:pPr>
        <w:widowControl/>
        <w:shd w:val="clear" w:color="auto" w:fill="FFFFFF"/>
        <w:spacing w:line="420" w:lineRule="atLeast"/>
        <w:ind w:right="120"/>
        <w:rPr>
          <w:rFonts w:ascii="PingFang SC" w:eastAsia="宋体" w:hAnsi="PingFang SC" w:cs="宋体"/>
          <w:color w:val="333333"/>
          <w:spacing w:val="8"/>
          <w:sz w:val="26"/>
          <w:szCs w:val="26"/>
        </w:rPr>
      </w:pPr>
      <w:r w:rsidRPr="00384480">
        <w:rPr>
          <w:rFonts w:ascii="微软雅黑" w:eastAsia="微软雅黑" w:hAnsi="微软雅黑" w:cs="宋体" w:hint="eastAsia"/>
          <w:color w:val="333333"/>
          <w:spacing w:val="8"/>
          <w:sz w:val="23"/>
          <w:szCs w:val="23"/>
          <w:shd w:val="clear" w:color="auto" w:fill="FFFFFF"/>
        </w:rPr>
        <w:t>考研调剂的时间：通常从考研国家线公布次日开始，一直持续到至5月初结束。</w:t>
      </w:r>
    </w:p>
    <w:p w14:paraId="79205862" w14:textId="77777777" w:rsidR="00384480" w:rsidRPr="00384480" w:rsidRDefault="00384480" w:rsidP="00384480">
      <w:pPr>
        <w:widowControl/>
        <w:shd w:val="clear" w:color="auto" w:fill="FFFFFF"/>
        <w:spacing w:line="420" w:lineRule="atLeast"/>
        <w:ind w:left="120" w:right="120"/>
        <w:rPr>
          <w:rFonts w:ascii="PingFang SC" w:eastAsia="宋体" w:hAnsi="PingFang SC" w:cs="宋体"/>
          <w:color w:val="333333"/>
          <w:spacing w:val="8"/>
          <w:sz w:val="26"/>
          <w:szCs w:val="26"/>
        </w:rPr>
      </w:pPr>
    </w:p>
    <w:p w14:paraId="68EBB31E" w14:textId="77777777" w:rsidR="00384480" w:rsidRPr="00384480" w:rsidRDefault="00384480" w:rsidP="00384480">
      <w:pPr>
        <w:widowControl/>
        <w:shd w:val="clear" w:color="auto" w:fill="FFFFFF"/>
        <w:spacing w:line="420" w:lineRule="atLeast"/>
        <w:ind w:left="120" w:right="120"/>
        <w:rPr>
          <w:rFonts w:ascii="PingFang SC" w:eastAsia="宋体" w:hAnsi="PingFang SC" w:cs="宋体"/>
          <w:color w:val="333333"/>
          <w:spacing w:val="8"/>
          <w:sz w:val="26"/>
          <w:szCs w:val="26"/>
        </w:rPr>
      </w:pPr>
      <w:r w:rsidRPr="00384480">
        <w:rPr>
          <w:rFonts w:ascii="PingFang SC" w:eastAsia="宋体" w:hAnsi="PingFang SC" w:cs="宋体"/>
          <w:b/>
          <w:bCs/>
          <w:color w:val="3F3F3F"/>
          <w:spacing w:val="15"/>
          <w:sz w:val="23"/>
          <w:szCs w:val="23"/>
        </w:rPr>
        <w:t>调剂流程如下：</w:t>
      </w:r>
      <w:r w:rsidRPr="00384480">
        <w:rPr>
          <w:rFonts w:ascii="PingFang SC" w:eastAsia="宋体" w:hAnsi="PingFang SC" w:cs="宋体"/>
          <w:b/>
          <w:bCs/>
          <w:color w:val="3F3F3F"/>
          <w:spacing w:val="15"/>
          <w:sz w:val="23"/>
          <w:szCs w:val="23"/>
        </w:rPr>
        <w:br/>
      </w:r>
    </w:p>
    <w:p w14:paraId="35436821" w14:textId="77777777" w:rsidR="00384480" w:rsidRPr="00384480" w:rsidRDefault="00384480" w:rsidP="00384480">
      <w:pPr>
        <w:widowControl/>
        <w:shd w:val="clear" w:color="auto" w:fill="FFFFFF"/>
        <w:spacing w:line="420" w:lineRule="atLeast"/>
        <w:ind w:left="120" w:right="120"/>
        <w:rPr>
          <w:rFonts w:ascii="PingFang SC" w:eastAsia="宋体" w:hAnsi="PingFang SC" w:cs="宋体"/>
          <w:color w:val="333333"/>
          <w:spacing w:val="8"/>
          <w:sz w:val="26"/>
          <w:szCs w:val="26"/>
        </w:rPr>
      </w:pPr>
      <w:r w:rsidRPr="00384480">
        <w:rPr>
          <w:rFonts w:ascii="PingFang SC" w:eastAsia="宋体" w:hAnsi="PingFang SC" w:cs="宋体"/>
          <w:b/>
          <w:bCs/>
          <w:color w:val="3F3F3F"/>
          <w:spacing w:val="15"/>
          <w:sz w:val="23"/>
          <w:szCs w:val="23"/>
        </w:rPr>
        <w:br/>
      </w:r>
    </w:p>
    <w:p w14:paraId="75FE98D8" w14:textId="77777777" w:rsidR="00384480" w:rsidRPr="00384480" w:rsidRDefault="00384480" w:rsidP="00384480">
      <w:pPr>
        <w:widowControl/>
        <w:shd w:val="clear" w:color="auto" w:fill="FFFFFF"/>
        <w:spacing w:line="480" w:lineRule="atLeast"/>
        <w:ind w:left="120" w:right="120"/>
        <w:rPr>
          <w:rFonts w:ascii="PingFang SC" w:eastAsia="宋体" w:hAnsi="PingFang SC" w:cs="宋体"/>
          <w:color w:val="333333"/>
          <w:spacing w:val="15"/>
          <w:sz w:val="26"/>
          <w:szCs w:val="26"/>
        </w:rPr>
      </w:pPr>
      <w:r w:rsidRPr="00384480">
        <w:rPr>
          <w:rFonts w:ascii="PingFang SC" w:eastAsia="宋体" w:hAnsi="PingFang SC" w:cs="宋体" w:hint="eastAsia"/>
          <w:noProof/>
          <w:color w:val="333333"/>
          <w:spacing w:val="15"/>
          <w:sz w:val="26"/>
          <w:szCs w:val="26"/>
        </w:rPr>
        <w:lastRenderedPageBreak/>
        <w:drawing>
          <wp:inline distT="0" distB="0" distL="0" distR="0" wp14:anchorId="2C5B9C33" wp14:editId="1D6D9C33">
            <wp:extent cx="5320472" cy="9126855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48" cy="920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9506" w14:textId="77777777" w:rsidR="00384480" w:rsidRPr="00384480" w:rsidRDefault="00384480" w:rsidP="00384480">
      <w:pPr>
        <w:widowControl/>
        <w:shd w:val="clear" w:color="auto" w:fill="FFFFFF"/>
        <w:spacing w:line="420" w:lineRule="atLeast"/>
        <w:ind w:left="120" w:right="120"/>
        <w:rPr>
          <w:rFonts w:ascii="PingFang SC" w:eastAsia="宋体" w:hAnsi="PingFang SC" w:cs="宋体"/>
          <w:color w:val="333333"/>
          <w:spacing w:val="8"/>
          <w:sz w:val="26"/>
          <w:szCs w:val="26"/>
        </w:rPr>
      </w:pPr>
    </w:p>
    <w:p w14:paraId="53958E29" w14:textId="3973D914" w:rsidR="00384480" w:rsidRDefault="00384480" w:rsidP="00384480">
      <w:r w:rsidRPr="00384480">
        <w:rPr>
          <w:rFonts w:ascii="微软雅黑" w:eastAsia="微软雅黑" w:hAnsi="微软雅黑" w:cs="宋体" w:hint="eastAsia"/>
          <w:spacing w:val="8"/>
          <w:sz w:val="23"/>
          <w:szCs w:val="23"/>
          <w:shd w:val="clear" w:color="auto" w:fill="FFFFFF"/>
        </w:rPr>
        <w:t>注意：</w:t>
      </w:r>
      <w:r w:rsidRPr="00384480">
        <w:rPr>
          <w:rFonts w:ascii="微软雅黑" w:eastAsia="微软雅黑" w:hAnsi="微软雅黑" w:cs="宋体" w:hint="eastAsia"/>
          <w:b/>
          <w:bCs/>
          <w:spacing w:val="8"/>
          <w:sz w:val="23"/>
          <w:szCs w:val="23"/>
          <w:shd w:val="clear" w:color="auto" w:fill="FFFFFF"/>
        </w:rPr>
        <w:t>研招网会有预调剂系统，也是调剂意向采集系统。</w:t>
      </w:r>
      <w:r w:rsidRPr="00384480">
        <w:rPr>
          <w:rFonts w:ascii="微软雅黑" w:eastAsia="微软雅黑" w:hAnsi="微软雅黑" w:cs="宋体" w:hint="eastAsia"/>
          <w:spacing w:val="8"/>
          <w:sz w:val="23"/>
          <w:szCs w:val="23"/>
          <w:shd w:val="clear" w:color="auto" w:fill="FFFFFF"/>
        </w:rPr>
        <w:t>填写预调剂系统以后，一定一定一定要填写正式调剂系统！忘记在正式调剂系统上填写内容的话就直接凉了。在调剂意向采集服务系统中，一位考生最多可填写10个调剂意向。在正式的调剂申请中，考生可以填写3个申请。</w:t>
      </w:r>
    </w:p>
    <w:p w14:paraId="25866CAC" w14:textId="19D8B236" w:rsidR="003668AE" w:rsidRDefault="003668AE" w:rsidP="008357B3"/>
    <w:sectPr w:rsidR="003668AE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2A442" w14:textId="77777777" w:rsidR="006A00C5" w:rsidRDefault="006A00C5" w:rsidP="006347B2">
      <w:r>
        <w:separator/>
      </w:r>
    </w:p>
  </w:endnote>
  <w:endnote w:type="continuationSeparator" w:id="0">
    <w:p w14:paraId="0F77907D" w14:textId="77777777" w:rsidR="006A00C5" w:rsidRDefault="006A00C5" w:rsidP="0063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23805" w14:textId="77777777" w:rsidR="006A00C5" w:rsidRDefault="006A00C5" w:rsidP="006347B2">
      <w:r>
        <w:separator/>
      </w:r>
    </w:p>
  </w:footnote>
  <w:footnote w:type="continuationSeparator" w:id="0">
    <w:p w14:paraId="546C0A37" w14:textId="77777777" w:rsidR="006A00C5" w:rsidRDefault="006A00C5" w:rsidP="0063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6C"/>
    <w:rsid w:val="00126697"/>
    <w:rsid w:val="00181C6C"/>
    <w:rsid w:val="003545FE"/>
    <w:rsid w:val="003668AE"/>
    <w:rsid w:val="00384480"/>
    <w:rsid w:val="006347B2"/>
    <w:rsid w:val="00690972"/>
    <w:rsid w:val="006A00C5"/>
    <w:rsid w:val="008357B3"/>
    <w:rsid w:val="008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14259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181C6C"/>
    <w:rPr>
      <w:b/>
      <w:bCs/>
    </w:rPr>
  </w:style>
  <w:style w:type="paragraph" w:styleId="a5">
    <w:name w:val="header"/>
    <w:basedOn w:val="a"/>
    <w:link w:val="a6"/>
    <w:uiPriority w:val="99"/>
    <w:unhideWhenUsed/>
    <w:rsid w:val="0063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7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2021-01-09T08:00:00Z</dcterms:created>
  <dcterms:modified xsi:type="dcterms:W3CDTF">2021-01-09T08:03:00Z</dcterms:modified>
</cp:coreProperties>
</file>