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ID: RCC-2026-014</w:t>
      </w:r>
    </w:p>
    <w:p>
      <w:r>
        <w:t>Version: 1.0</w:t>
      </w:r>
    </w:p>
    <w:p>
      <w:r>
        <w:t>Effective Date: 15-Feb-2026</w:t>
      </w:r>
    </w:p>
    <w:p>
      <w:pPr>
        <w:pStyle w:val="Title"/>
      </w:pPr>
      <w:r>
        <w:t>REGULATORY COMPLIANCE CIRCULAR</w:t>
      </w:r>
    </w:p>
    <w:p>
      <w:r>
        <w:t>Quarterly Service Reliability Report due by the 15th day after each quarter. Late filing penalty SGD 25,000 per missed filing.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Theerthaprasad Gowda</dc:creator>
  <keywords/>
  <dc:description>generated by python-docx</dc:description>
  <lastModifiedBy>Theerthaprasad Gowda</lastModifiedBy>
  <revision>1</revision>
  <dcterms:created xsi:type="dcterms:W3CDTF">2026-09-04T12:39:06.9734335Z</dcterms:created>
  <dcterms:modified xsi:type="dcterms:W3CDTF">2026-09-04T12:39:06.9734335Z</dcterms:modified>
  <category/>
</coreProperties>
</file>