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TAKE-HOME MINI CAPSTONE 2 OF 2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</w:rPr>
        <w:t xml:space="preserve">Solstice Insurance — Predict, Then Build (Independently)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Module 8: Business Use-Case Patterns &amp; Mid-Program Review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What this assignment is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Same predict-then-implement-then-validate structure as the in-session Meridian capstone — but for a NEW client with a genuinely different risk profile, done independently, and graded. Do not copy Meridian's predictions across without re-deriving them from THIS brief — several of the right answers here are different, and the grading rubric checks for that specifically.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Scenario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Read client_brief.md in full before doing anything else. Solstice Insurance operates under insurance-sector regulation, handles a free-text customer-notes field that is never reviewed before reaching your pipeline, and has been explicit that an unsupported answer is a regulatory incident, not just a bad customer experience. Your technical choices need to reflect that — not repeat whatever felt safe for an HR use case.</w:t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Setup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cd capstone2_takehome_solstice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-m venv venv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source venv/bin/activate       # Windows: venv\Scripts\Activate.ps1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cp .env.example .env           # then add your real API key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Part 1 — Predict (Submit This Table)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Fill in your prediction and reasoning for each decision below, BEFORE writing any code. This table is graded on its own — a correct implementation with weak or copied reasoning here will not earn full marks.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00"/>
        <w:gridCol w:w="2100"/>
        <w:gridCol w:w="5050"/>
      </w:tblGrid>
      <w:tr>
        <w:trPr>
          <w:tblHeader/>
        </w:trPr>
        <w:tc>
          <w:tcPr>
            <w:tcW w:type="dxa" w:w="22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21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prediction</w:t>
            </w:r>
          </w:p>
        </w:tc>
        <w:tc>
          <w:tcPr>
            <w:tcW w:type="dxa" w:w="5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Your reasoning (specific to Solstice, not generic)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1"/>
          <w:szCs w:val="21"/>
        </w:rPr>
        <w:t xml:space="preserve">Rows to complete: (1) Overall pattern. (2) Chunking strategy for the Claims Processing SOP — look at its actual structure before deciding. (3) Chunking approach for the denial log CSV. (4) Retrieval pattern. (5) Is reranking worth it here — and why does the client brief specifically push toward an answer? (6) Which PII handling points matter, and why more than Meridian's? (7) Is prompt-injection defence optional here — justify using the customer_note field specifically. (8) Confidence/refusal threshold, relative to Meridian's. (9) Does output validation need to be a hard gate here?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Part 2 — Implement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Open starter/build_vectorstore.py and starter/app.py — both scaffolded with labelled TODOs. Use the shared toolkit/ modules (the same ones from the Meridian capstone and Modules 5–7) — do not rewrite chunking, retrieval, or PII logic from scratch.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Build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Fill in build_vectorstore.py, run it, confirm a sensible chunk count and PII summary in the console.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Fill in app.py, start it: uvicorn app:app --reload --port 8000 (from inside starter/).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Test manually via http://localhost:8000/docs before running the full agent.py.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Part 3 — Validate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python agent.py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 each of the 6 questions, record: did it answer correctly, did the result match your Part 1 prediction, and if not, what did you change. Pay particular attention to Question 2 (does it surface all 3 denial reasons?) and Question 3 (does injection_flagged come back true on a REAL retrieved chunk?) — these are the two questions specifically designed to test whether your predictions actually matched this client's needs.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completed Part 1 prediction table (Section C above), as a table in your submission — not skipped or left as placeholders.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zipped repository (or Git link) with: your completed starter/ code, documents/ (unchanged), requirements.txt, .env.example, a README.md explaining your key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Your README.md must state: your chunking choice for the SOP and why, whether you implemented reranking and why, and confirmation (with the actual output) that the injection test on CLM-88309 was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short written reflection (200–300 words) answering Section G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include your real .env file or API key anywhere in the submission.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G. Reflection Questions (Include in Your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Name one decision where your Meridian-session instinct would have been WRONG for Solstice, and explain what in the client brief should have told you to reconsider.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Did your reranking decision (implemented or not) actually change Question 2's answer? Show the specific difference, or explain why you predicted no reranking was needed and confirm that held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If Solstice later wants this system to be customer-facing (not just internal to agents), which of your current decisions would need to become MORE conservative, and which are already sufficient?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H. Grading Rubric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750"/>
        <w:gridCol w:w="1250"/>
        <w:gridCol w:w="5300"/>
      </w:tblGrid>
      <w:tr>
        <w:trPr>
          <w:tblHeader/>
        </w:trPr>
        <w:tc>
          <w:tcPr>
            <w:tcW w:type="dxa" w:w="27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Weight</w:t>
            </w:r>
          </w:p>
        </w:tc>
        <w:tc>
          <w:tcPr>
            <w:tcW w:type="dxa" w:w="53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earns full marks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Part 1 predictions &amp; reasoning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9 rows completed with reasoning specific to Solstice's brief, not copied from Meridian or generic.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 implementation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Correct strategy chosen for the SOP's actual (paragraph-style) structure; CSV handled as one-chunk-per-row.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Retrieval &amp; reranking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Hybrid retrieval implemented; reranking decision matches the brief's ‘surface all distinct reasons’ requirement, with evidence it changed Question 2's result if implemented.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 handling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Redaction demonstrated at ingest and on the incoming question, with evidence (console output or logged question).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Injection defence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Untrusted-data wrapping implemented; the real planted phrase in CLM-88309 is detected end-to-end, not just in isolation.</w:t>
            </w:r>
          </w:p>
        </w:tc>
      </w:tr>
      <w:tr>
        <w:tc>
          <w:tcPr>
            <w:tcW w:type="dxa" w:w="2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Confidence, refusal &amp; output validation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3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Threshold reasoning is specific to Solstice's regulatory framing; output validation is a hard gate, not a bypassed import.</w:t>
            </w:r>
          </w:p>
        </w:tc>
      </w:tr>
      <w:tr>
        <w:tc>
          <w:tcPr>
            <w:tcW w:type="dxa" w:w="2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README &amp; reflection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README documents key decisions with evidence; reflection is specific to this build, not generic RAG commentary.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I. Submission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Submit a single .zip file (or a link to a private Git repository) named LastName_FirstName_Solstice.zip, containing everything listed in Section F. Submit through the course portal by the deadline communicated separately by your facilitator.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J. Tips &amp;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Don't assume the same technical answers as Meridian will be correct here — several deliberately aren't. Re-derive from this brief.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Open the actual PDF (or its text) before deciding on a chunking strategy — guessing from the filename alone is how the SOP's paragraph structure gets missed.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Test your injection scan specifically against the CSV-derived chunks, not just the HTML/PDF text — a scan applied only pre-chunking can miss content that only becomes its own chunk after the CSV loader splits it by 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correct implementation with a copied or generic Part 1 table will lose marks even if agent.py's output looks right — the reasoning is graded as its own deliverable, not just a formality before the code.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2026-09-24T08:51:17.715Z</dcterms:created>
  <dcterms:modified xsi:type="dcterms:W3CDTF">2026-09-24T08:51:17.715Z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