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aps/>
          <w:color w:val="2E5395"/>
          <w:sz w:val="26"/>
          <w:szCs w:val="26"/>
        </w:rPr>
        <w:t xml:space="preserve">HIGH-LEVEL SOLUTION DESIGN</w:t>
      </w:r>
    </w:p>
    <w:p>
      <w:pPr>
        <w:spacing w:before="200"/>
        <w:jc w:val="center"/>
      </w:pPr>
      <w:r>
        <w:rPr>
          <w:rFonts w:ascii="Calibri" w:cs="Calibri" w:eastAsia="Calibri" w:hAnsi="Calibri"/>
          <w:b/>
          <w:bCs/>
          <w:color w:val="1F3864"/>
          <w:sz w:val="52"/>
          <w:szCs w:val="52"/>
        </w:rPr>
        <w:t xml:space="preserve">Enterprise Audit Logging &amp; Compliance Platform</w:t>
      </w:r>
    </w:p>
    <w:p>
      <w:pPr>
        <w:spacing w:after="800" w:before="200"/>
        <w:jc w:val="center"/>
      </w:pPr>
      <w:r>
        <w:rPr>
          <w:rFonts w:ascii="Calibri" w:cs="Calibri" w:eastAsia="Calibri" w:hAnsi="Calibri"/>
          <w:i/>
          <w:iCs/>
          <w:color w:val="595959"/>
          <w:sz w:val="24"/>
          <w:szCs w:val="24"/>
        </w:rPr>
        <w:t xml:space="preserve">Centralized, Tamper-Evident, Real-Time Audit Trail Infrastructure for Regulated Enterprise Systems</w:t>
      </w:r>
    </w:p>
    <w:tbl>
      <w:tblPr>
        <w:tblW w:type="pct" w:w="70%"/>
        <w:jc w:val="center"/>
        <w:tblBorders>
          <w:top w:val="single" w:color="2E5395" w:sz="4"/>
          <w:left w:val="single" w:color="2E5395" w:sz="4"/>
          <w:bottom w:val="single" w:color="2E5395" w:sz="4"/>
          <w:right w:val="single" w:color="2E5395" w:sz="4"/>
          <w:insideH w:val="single" w:color="2E5395" w:sz="4"/>
          <w:insideV w:val="single" w:color="2E5395" w:sz="4"/>
        </w:tblBorders>
      </w:tblPr>
      <w:tblGrid>
        <w:gridCol w:w="100"/>
        <w:gridCol w:w="100"/>
      </w:tblGrid>
      <w:tr>
        <w:tc>
          <w:tcPr>
            <w:shd w:fill="EEF2F8"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Document Type</w:t>
            </w:r>
          </w:p>
        </w:tc>
        <w:tc>
          <w:tcP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High-Level Solution Design (HLSD)</w:t>
            </w:r>
          </w:p>
        </w:tc>
      </w:tr>
      <w:tr>
        <w:tc>
          <w:tcPr>
            <w:shd w:fill="EEF2F8"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Document ID</w:t>
            </w:r>
          </w:p>
        </w:tc>
        <w:tc>
          <w:tcP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HLSD-AUDIT-PLATFORM-001</w:t>
            </w:r>
          </w:p>
        </w:tc>
      </w:tr>
      <w:tr>
        <w:tc>
          <w:tcPr>
            <w:shd w:fill="EEF2F8"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Version</w:t>
            </w:r>
          </w:p>
        </w:tc>
        <w:tc>
          <w:tcP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 (Draft for Review)</w:t>
            </w:r>
          </w:p>
        </w:tc>
      </w:tr>
      <w:tr>
        <w:tc>
          <w:tcPr>
            <w:shd w:fill="EEF2F8"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Classification</w:t>
            </w:r>
          </w:p>
        </w:tc>
        <w:tc>
          <w:tcP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Internal — Confidential</w:t>
            </w:r>
          </w:p>
        </w:tc>
      </w:tr>
      <w:tr>
        <w:tc>
          <w:tcPr>
            <w:shd w:fill="EEF2F8"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Status</w:t>
            </w:r>
          </w:p>
        </w:tc>
        <w:tc>
          <w:tcP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Pending Architecture Review Board (ARB) Approval</w:t>
            </w:r>
          </w:p>
        </w:tc>
      </w:tr>
      <w:tr>
        <w:tc>
          <w:tcPr>
            <w:shd w:fill="EEF2F8"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Date</w:t>
            </w:r>
          </w:p>
        </w:tc>
        <w:tc>
          <w:tcP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17 August 2026</w:t>
            </w:r>
          </w:p>
        </w:tc>
      </w:tr>
      <w:tr>
        <w:tc>
          <w:tcPr>
            <w:shd w:fill="EEF2F8" w:val="clear"/>
            <w:tcMar>
              <w:top w:type="dxa" w:w="100"/>
              <w:left w:type="dxa" w:w="140"/>
              <w:bottom w:type="dxa" w:w="100"/>
              <w:right w:type="dxa" w:w="140"/>
            </w:tcMar>
            <w:vAlign w:val="center"/>
          </w:tcPr>
          <w:p>
            <w:pPr>
              <w:jc w:val="left"/>
            </w:pPr>
            <w:r>
              <w:rPr>
                <w:rFonts w:ascii="Calibri" w:cs="Calibri" w:eastAsia="Calibri" w:hAnsi="Calibri"/>
                <w:b/>
                <w:bCs/>
                <w:color w:val="1A1A1A"/>
                <w:sz w:val="20"/>
                <w:szCs w:val="20"/>
              </w:rPr>
              <w:t xml:space="preserve">Owner</w:t>
            </w:r>
          </w:p>
        </w:tc>
        <w:tc>
          <w:tcP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Platform Engineering / Enterprise Architecture</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Document Control</w:t>
      </w:r>
    </w:p>
    <w:p>
      <w:pPr>
        <w:pStyle w:val="Heading2"/>
        <w:spacing w:after="140" w:before="320"/>
      </w:pPr>
      <w:r>
        <w:rPr>
          <w:rFonts w:ascii="Calibri" w:cs="Calibri" w:eastAsia="Calibri" w:hAnsi="Calibri"/>
          <w:b/>
          <w:bCs/>
          <w:color w:val="2E5395"/>
          <w:sz w:val="24"/>
          <w:szCs w:val="24"/>
        </w:rPr>
        <w:t xml:space="preserve">Revision History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1800"/>
        <w:gridCol w:w="2600"/>
        <w:gridCol w:w="4900"/>
      </w:tblGrid>
      <w:tr>
        <w:trPr>
          <w:tblHeader/>
        </w:trPr>
        <w:tc>
          <w:tcPr>
            <w:tcW w:type="dxa" w:w="1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Version</w:t>
            </w:r>
          </w:p>
        </w:tc>
        <w:tc>
          <w:tcPr>
            <w:tcW w:type="dxa" w:w="18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Date</w:t>
            </w:r>
          </w:p>
        </w:tc>
        <w:tc>
          <w:tcPr>
            <w:tcW w:type="dxa" w:w="2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Author</w:t>
            </w:r>
          </w:p>
        </w:tc>
        <w:tc>
          <w:tcPr>
            <w:tcW w:type="dxa" w:w="4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Description</w:t>
            </w:r>
          </w:p>
        </w:tc>
      </w:tr>
      <w:tr>
        <w:tc>
          <w:tcPr>
            <w:tcW w:type="dxa" w:w="1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0.1</w:t>
            </w:r>
          </w:p>
        </w:tc>
        <w:tc>
          <w:tcPr>
            <w:tcW w:type="dxa" w:w="1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2026-08-01</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Platform Engineering</w:t>
            </w:r>
          </w:p>
        </w:tc>
        <w:tc>
          <w:tcPr>
            <w:tcW w:type="dxa" w:w="4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Initial draft from architecture whiteboarding session</w:t>
            </w:r>
          </w:p>
        </w:tc>
      </w:tr>
      <w:tr>
        <w:tc>
          <w:tcPr>
            <w:tcW w:type="dxa" w:w="1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0.5</w:t>
            </w:r>
          </w:p>
        </w:tc>
        <w:tc>
          <w:tcPr>
            <w:tcW w:type="dxa" w:w="1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2026-08-10</w:t>
            </w:r>
          </w:p>
        </w:tc>
        <w:tc>
          <w:tcPr>
            <w:tcW w:type="dxa" w:w="2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Platform Engineering</w:t>
            </w:r>
          </w:p>
        </w:tc>
        <w:tc>
          <w:tcPr>
            <w:tcW w:type="dxa" w:w="4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Added integrity verification, S3 archival, and RBAC model</w:t>
            </w:r>
          </w:p>
        </w:tc>
      </w:tr>
      <w:tr>
        <w:tc>
          <w:tcPr>
            <w:tcW w:type="dxa" w:w="1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w:t>
            </w:r>
          </w:p>
        </w:tc>
        <w:tc>
          <w:tcPr>
            <w:tcW w:type="dxa" w:w="1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2026-08-17</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Platform Engineering</w:t>
            </w:r>
          </w:p>
        </w:tc>
        <w:tc>
          <w:tcPr>
            <w:tcW w:type="dxa" w:w="4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Formalized as HLSD for Architecture Review Board submission</w:t>
            </w:r>
          </w:p>
        </w:tc>
      </w:tr>
    </w:tbl>
    <w:p>
      <w:pPr>
        <w:pStyle w:val="Heading2"/>
        <w:spacing w:after="140" w:before="320"/>
      </w:pPr>
      <w:r>
        <w:rPr>
          <w:rFonts w:ascii="Calibri" w:cs="Calibri" w:eastAsia="Calibri" w:hAnsi="Calibri"/>
          <w:b/>
          <w:bCs/>
          <w:color w:val="2E5395"/>
          <w:sz w:val="24"/>
          <w:szCs w:val="24"/>
        </w:rPr>
        <w:t xml:space="preserve">Reviewers &amp; Approvers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600"/>
        <w:gridCol w:w="1900"/>
      </w:tblGrid>
      <w:tr>
        <w:trPr>
          <w:tblHeader/>
        </w:trPr>
        <w:tc>
          <w:tcPr>
            <w:tcW w:type="dxa" w:w="34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Name / Role</w:t>
            </w:r>
          </w:p>
        </w:tc>
        <w:tc>
          <w:tcPr>
            <w:tcW w:type="dxa" w:w="3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Area</w:t>
            </w:r>
          </w:p>
        </w:tc>
        <w:tc>
          <w:tcPr>
            <w:tcW w:type="dxa" w:w="1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Approval Status</w:t>
            </w:r>
          </w:p>
        </w:tc>
      </w:tr>
      <w:tr>
        <w:tc>
          <w:tcPr>
            <w:tcW w:type="dxa" w:w="3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Enterprise Architecture Lead</w:t>
            </w:r>
          </w:p>
        </w:tc>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Overall solution architecture</w:t>
            </w:r>
          </w:p>
        </w:tc>
        <w:tc>
          <w:tcPr>
            <w:tcW w:type="dxa" w:w="1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Pending</w:t>
            </w:r>
          </w:p>
        </w:tc>
      </w:tr>
      <w:tr>
        <w:tc>
          <w:tcPr>
            <w:tcW w:type="dxa" w:w="3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Chief Information Security Officer (CISO) delegate</w:t>
            </w:r>
          </w:p>
        </w:tc>
        <w:tc>
          <w:tcPr>
            <w:tcW w:type="dxa" w:w="3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Security &amp; compliance controls</w:t>
            </w:r>
          </w:p>
        </w:tc>
        <w:tc>
          <w:tcPr>
            <w:tcW w:type="dxa" w:w="1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Pending</w:t>
            </w:r>
          </w:p>
        </w:tc>
      </w:tr>
      <w:tr>
        <w:tc>
          <w:tcPr>
            <w:tcW w:type="dxa" w:w="3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Head of Platform Engineering</w:t>
            </w:r>
          </w:p>
        </w:tc>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Technical feasibility &amp; staffing</w:t>
            </w:r>
          </w:p>
        </w:tc>
        <w:tc>
          <w:tcPr>
            <w:tcW w:type="dxa" w:w="1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Pending</w:t>
            </w:r>
          </w:p>
        </w:tc>
      </w:tr>
      <w:tr>
        <w:tc>
          <w:tcPr>
            <w:tcW w:type="dxa" w:w="3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Compliance / Internal Audit representative</w:t>
            </w:r>
          </w:p>
        </w:tc>
        <w:tc>
          <w:tcPr>
            <w:tcW w:type="dxa" w:w="3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Regulatory alignment (SOX, GDPR, PCI-DSS)</w:t>
            </w:r>
          </w:p>
        </w:tc>
        <w:tc>
          <w:tcPr>
            <w:tcW w:type="dxa" w:w="1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Pending</w:t>
            </w:r>
          </w:p>
        </w:tc>
      </w:tr>
      <w:tr>
        <w:tc>
          <w:tcPr>
            <w:tcW w:type="dxa" w:w="3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Site Reliability Engineering (SRE) Lead</w:t>
            </w:r>
          </w:p>
        </w:tc>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Operability, SLOs, on-call readiness</w:t>
            </w:r>
          </w:p>
        </w:tc>
        <w:tc>
          <w:tcPr>
            <w:tcW w:type="dxa" w:w="1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Pending</w:t>
            </w:r>
          </w:p>
        </w:tc>
      </w:tr>
    </w:tbl>
    <w:p>
      <w:pPr>
        <w:pStyle w:val="Heading2"/>
        <w:spacing w:after="140" w:before="320"/>
      </w:pPr>
      <w:r>
        <w:rPr>
          <w:rFonts w:ascii="Calibri" w:cs="Calibri" w:eastAsia="Calibri" w:hAnsi="Calibri"/>
          <w:b/>
          <w:bCs/>
          <w:color w:val="2E5395"/>
          <w:sz w:val="24"/>
          <w:szCs w:val="24"/>
        </w:rPr>
        <w:t xml:space="preserve">Related Documents</w:t>
      </w:r>
    </w:p>
    <w:p>
      <w:pPr>
        <w:pStyle w:val="ListParagraph"/>
        <w:numPr>
          <w:ilvl w:val="0"/>
          <w:numId w:val="2"/>
        </w:numPr>
        <w:spacing w:after="60" w:line="264"/>
      </w:pPr>
      <w:r>
        <w:rPr>
          <w:rFonts w:ascii="Calibri" w:cs="Calibri" w:eastAsia="Calibri" w:hAnsi="Calibri"/>
          <w:color w:val="1A1A1A"/>
          <w:sz w:val="21"/>
          <w:szCs w:val="21"/>
        </w:rPr>
        <w:t xml:space="preserve">Low-Level Design (LLD) — Audit API Service (to be produced)</w:t>
      </w:r>
    </w:p>
    <w:p>
      <w:pPr>
        <w:pStyle w:val="ListParagraph"/>
        <w:numPr>
          <w:ilvl w:val="0"/>
          <w:numId w:val="2"/>
        </w:numPr>
        <w:spacing w:after="60" w:line="264"/>
      </w:pPr>
      <w:r>
        <w:rPr>
          <w:rFonts w:ascii="Calibri" w:cs="Calibri" w:eastAsia="Calibri" w:hAnsi="Calibri"/>
          <w:color w:val="1A1A1A"/>
          <w:sz w:val="21"/>
          <w:szCs w:val="21"/>
        </w:rPr>
        <w:t xml:space="preserve">Low-Level Design (LLD) — Audit Consumer Service (to be produced)</w:t>
      </w:r>
    </w:p>
    <w:p>
      <w:pPr>
        <w:pStyle w:val="ListParagraph"/>
        <w:numPr>
          <w:ilvl w:val="0"/>
          <w:numId w:val="2"/>
        </w:numPr>
        <w:spacing w:after="60" w:line="264"/>
      </w:pPr>
      <w:r>
        <w:rPr>
          <w:rFonts w:ascii="Calibri" w:cs="Calibri" w:eastAsia="Calibri" w:hAnsi="Calibri"/>
          <w:color w:val="1A1A1A"/>
          <w:sz w:val="21"/>
          <w:szCs w:val="21"/>
        </w:rPr>
        <w:t xml:space="preserve">Data Retention &amp; Classification Policy</w:t>
      </w:r>
    </w:p>
    <w:p>
      <w:pPr>
        <w:pStyle w:val="ListParagraph"/>
        <w:numPr>
          <w:ilvl w:val="0"/>
          <w:numId w:val="2"/>
        </w:numPr>
        <w:spacing w:after="60" w:line="264"/>
      </w:pPr>
      <w:r>
        <w:rPr>
          <w:rFonts w:ascii="Calibri" w:cs="Calibri" w:eastAsia="Calibri" w:hAnsi="Calibri"/>
          <w:color w:val="1A1A1A"/>
          <w:sz w:val="21"/>
          <w:szCs w:val="21"/>
        </w:rPr>
        <w:t xml:space="preserve">Enterprise Security Standards — Network Segmentation &amp; Secrets Management</w:t>
      </w:r>
    </w:p>
    <w:p>
      <w:pPr>
        <w:pStyle w:val="ListParagraph"/>
        <w:numPr>
          <w:ilvl w:val="0"/>
          <w:numId w:val="2"/>
        </w:numPr>
        <w:spacing w:after="60" w:line="264"/>
      </w:pPr>
      <w:r>
        <w:rPr>
          <w:rFonts w:ascii="Calibri" w:cs="Calibri" w:eastAsia="Calibri" w:hAnsi="Calibri"/>
          <w:color w:val="1A1A1A"/>
          <w:sz w:val="21"/>
          <w:szCs w:val="21"/>
        </w:rPr>
        <w:t xml:space="preserve">Incident Response &amp; Security Alerting Runbook</w:t>
      </w:r>
    </w:p>
    <w:p>
      <w:pPr>
        <w:pStyle w:val="Heading2"/>
        <w:spacing w:after="140" w:before="320"/>
      </w:pPr>
      <w:r>
        <w:rPr>
          <w:rFonts w:ascii="Calibri" w:cs="Calibri" w:eastAsia="Calibri" w:hAnsi="Calibri"/>
          <w:b/>
          <w:bCs/>
          <w:color w:val="2E5395"/>
          <w:sz w:val="24"/>
          <w:szCs w:val="24"/>
        </w:rPr>
        <w:t xml:space="preserve">Glossary of Terms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700"/>
      </w:tblGrid>
      <w:tr>
        <w:trPr>
          <w:tblHeader/>
        </w:trPr>
        <w:tc>
          <w:tcPr>
            <w:tcW w:type="dxa" w:w="22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Term</w:t>
            </w:r>
          </w:p>
        </w:tc>
        <w:tc>
          <w:tcPr>
            <w:tcW w:type="dxa" w:w="77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Definition</w:t>
            </w:r>
          </w:p>
        </w:tc>
      </w:tr>
      <w:tr>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 Event</w:t>
            </w:r>
          </w:p>
        </w:tc>
        <w:tc>
          <w:tcPr>
            <w:tcW w:type="dxa" w:w="7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An immutable record describing an action performed by an actor on a resource within a consuming system.</w:t>
            </w:r>
          </w:p>
        </w:tc>
      </w:tr>
      <w:tr>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Hash Chain</w:t>
            </w:r>
          </w:p>
        </w:tc>
        <w:tc>
          <w:tcPr>
            <w:tcW w:type="dxa" w:w="7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 sequence of cryptographic hashes in which each event's hash incorporates the previous event's hash, enabling tamper detection.</w:t>
            </w:r>
          </w:p>
        </w:tc>
      </w:tr>
      <w:tr>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WORM</w:t>
            </w:r>
          </w:p>
        </w:tc>
        <w:tc>
          <w:tcPr>
            <w:tcW w:type="dxa" w:w="7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Write Once, Read Many — a storage retention mode that prevents deletion or modification for a defined period.</w:t>
            </w:r>
          </w:p>
        </w:tc>
      </w:tr>
      <w:tr>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RPO / RTO</w:t>
            </w:r>
          </w:p>
        </w:tc>
        <w:tc>
          <w:tcPr>
            <w:tcW w:type="dxa" w:w="7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Recovery Point Objective / Recovery Time Objective — data-loss and downtime tolerances used for DR planning.</w:t>
            </w:r>
          </w:p>
        </w:tc>
      </w:tr>
      <w:tr>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SLO / SLA</w:t>
            </w:r>
          </w:p>
        </w:tc>
        <w:tc>
          <w:tcPr>
            <w:tcW w:type="dxa" w:w="7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Service Level Objective / Agreement — internal target and external commitment for system performance and availability.</w:t>
            </w:r>
          </w:p>
        </w:tc>
      </w:tr>
      <w:tr>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RBAC</w:t>
            </w:r>
          </w:p>
        </w:tc>
        <w:tc>
          <w:tcPr>
            <w:tcW w:type="dxa" w:w="7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Role-Based Access Control.</w:t>
            </w:r>
          </w:p>
        </w:tc>
      </w:tr>
      <w:tr>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DLQ</w:t>
            </w:r>
          </w:p>
        </w:tc>
        <w:tc>
          <w:tcPr>
            <w:tcW w:type="dxa" w:w="7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Dead-Letter Queue — a queue that captures messages that repeatedly fail processing.</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1A1A1A"/>
          <w:sz w:val="21"/>
          <w:szCs w:val="21"/>
        </w:rPr>
        <w:t xml:space="preserve">This document defines the High-Level Solution Design (HLSD) for the Enterprise Audit Logging &amp; Compliance Platform, a centralized service that captures, secures, and makes searchable a record of who did what, when, from where, and to which resource across the organization's business systems. The platform is a foundational compliance and security control, consumed by microservices, admin portals, trading systems, payment systems, regulatory reporting systems, and internal line-of-business applications.</w:t>
      </w:r>
    </w:p>
    <w:p>
      <w:pPr>
        <w:spacing w:after="160" w:line="276"/>
      </w:pPr>
      <w:r>
        <w:rPr>
          <w:rFonts w:ascii="Calibri" w:cs="Calibri" w:eastAsia="Calibri" w:hAnsi="Calibri"/>
          <w:color w:val="1A1A1A"/>
          <w:sz w:val="21"/>
          <w:szCs w:val="21"/>
        </w:rPr>
        <w:t xml:space="preserve">The design prioritizes nine non-negotiable properties: high-throughput ingestion, minimal latency impact on calling applications, cryptographic tamper detection, immutability of persisted records, fast search and investigation, long-term cost-effective archival, real-time security alerting, strict role-based access control, and first-class support for compliance investigations. These properties directly support the organization's obligations under financial services regulation (e.g., SOX, applicable trading/market-conduct rules), data protection law (GDPR/equivalent), and payment card standards (PCI-DSS) wherever audit evidence of access and change is a compliance requirement.</w:t>
      </w:r>
    </w:p>
    <w:p>
      <w:pPr>
        <w:spacing w:after="160" w:line="276"/>
      </w:pPr>
      <w:r>
        <w:rPr>
          <w:rFonts w:ascii="Calibri" w:cs="Calibri" w:eastAsia="Calibri" w:hAnsi="Calibri"/>
          <w:color w:val="1A1A1A"/>
          <w:sz w:val="21"/>
          <w:szCs w:val="21"/>
        </w:rPr>
        <w:t xml:space="preserve">Architecturally, the platform decouples audit-event ingestion from audit-event persistence using an asynchronous, queue-based pipeline (API → SQS → Consumer → MongoDB), so that audit logging never becomes a bottleneck or single point of failure for the business transaction that generated the event. Tamper-evidence is achieved through a SHA-256 hash chain across events, verifiable on demand and reported down to the exact position where a chain break occurs. Hot operational data lives in MongoDB for fast investigator search; older records are rolled off to Amazon S3 under lifecycle and (optionally) Object Lock/WORM retention for durable, cost-efficient long-term archival.</w:t>
      </w:r>
    </w:p>
    <w:p>
      <w:pPr>
        <w:spacing w:after="160" w:line="276"/>
      </w:pPr>
      <w:r>
        <w:rPr>
          <w:rFonts w:ascii="Calibri" w:cs="Calibri" w:eastAsia="Calibri" w:hAnsi="Calibri"/>
          <w:color w:val="1A1A1A"/>
          <w:sz w:val="21"/>
          <w:szCs w:val="21"/>
        </w:rPr>
        <w:t xml:space="preserve">This document is intended for the Architecture Review Board, security and compliance stakeholders, and the engineering teams who will produce the corresponding Low-Level Designs. It defines scope, architecture, component responsibilities, data model, security model, non-functional requirements, compliance mapping, and a phased implementation roadmap.</w:t>
      </w:r>
    </w:p>
    <w:p>
      <w:pPr>
        <w:pStyle w:val="Heading1"/>
        <w:pBdr>
          <w:bottom w:val="single" w:color="1F3864" w:sz="8" w:space="4"/>
        </w:pBdr>
        <w:spacing w:after="200" w:before="480"/>
      </w:pPr>
      <w:r>
        <w:rPr>
          <w:rFonts w:ascii="Calibri" w:cs="Calibri" w:eastAsia="Calibri" w:hAnsi="Calibri"/>
          <w:b/>
          <w:bCs/>
          <w:color w:val="1F3864"/>
          <w:sz w:val="30"/>
          <w:szCs w:val="30"/>
        </w:rPr>
        <w:t xml:space="preserve">2.  Goals &amp; Objectives</w:t>
      </w:r>
    </w:p>
    <w:p>
      <w:pPr>
        <w:spacing w:after="160" w:line="276"/>
      </w:pPr>
      <w:r>
        <w:rPr>
          <w:rFonts w:ascii="Calibri" w:cs="Calibri" w:eastAsia="Calibri" w:hAnsi="Calibri"/>
          <w:color w:val="1A1A1A"/>
          <w:sz w:val="21"/>
          <w:szCs w:val="21"/>
        </w:rPr>
        <w:t xml:space="preserve">The platform is designed to satisfy the following primary objectives. These are treated as architectural drivers — every major design decision in this document traces back to one or more of them.</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900"/>
        <w:gridCol w:w="6500"/>
      </w:tblGrid>
      <w:tr>
        <w:trPr>
          <w:tblHeader/>
        </w:trPr>
        <w:tc>
          <w:tcPr>
            <w:tcW w:type="dxa" w:w="5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w:t>
            </w:r>
          </w:p>
        </w:tc>
        <w:tc>
          <w:tcPr>
            <w:tcW w:type="dxa" w:w="2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Objective</w:t>
            </w:r>
          </w:p>
        </w:tc>
        <w:tc>
          <w:tcPr>
            <w:tcW w:type="dxa" w:w="65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Primary Architectural Response</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High-throughput event ingestion</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Stateless, reactive API layer (Spring WebFlux) fronted by a load balancer; asynchronous hand-off to SQS.</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Minimal impact on business applications</w:t>
            </w:r>
          </w:p>
        </w:tc>
        <w:tc>
          <w:tcPr>
            <w:tcW w:type="dxa" w:w="6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 write is fire-and-forget from the caller's perspective — the API acknowledges after a durable queue publish, not after DB persistence.</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Tamper detection</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SHA-256 hash chain linking every event to its predecessor; on-demand and scheduled verification.</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Immutable audit history</w:t>
            </w:r>
          </w:p>
        </w:tc>
        <w:tc>
          <w:tcPr>
            <w:tcW w:type="dxa" w:w="6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 update/delete API surface; MongoDB collection-level controls; WORM-style S3 Object Lock for archive.</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Searchable audit records</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Purpose-built MongoDB indexes on actor, resource, action, and time; dedicated query API.</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6</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Long-term archival</w:t>
            </w:r>
          </w:p>
        </w:tc>
        <w:tc>
          <w:tcPr>
            <w:tcW w:type="dxa" w:w="6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Tiered storage — hot data in MongoDB, cold data lifecycle-managed to S3 with encryption and retention policy.</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Real-time security alerts</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SNS fan-out to email/Slack/SIEM on CRITICAL/HIGH severity integrity and access events.</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Role-based access</w:t>
            </w:r>
          </w:p>
        </w:tc>
        <w:tc>
          <w:tcPr>
            <w:tcW w:type="dxa" w:w="6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Three-tier RBAC (USER / AUDITOR / ADMIN) enforced at the API layer, independent of UI.</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9</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Compliance investigation capability</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Rich event schema (who/what/when/where/why/before-after) plus a dedicated investigator UI.</w:t>
            </w:r>
          </w:p>
        </w:tc>
      </w:tr>
    </w:tbl>
    <w:p>
      <w:pPr>
        <w:pStyle w:val="Heading2"/>
        <w:spacing w:after="140" w:before="320"/>
      </w:pPr>
      <w:r>
        <w:rPr>
          <w:rFonts w:ascii="Calibri" w:cs="Calibri" w:eastAsia="Calibri" w:hAnsi="Calibri"/>
          <w:b/>
          <w:bCs/>
          <w:color w:val="2E5395"/>
          <w:sz w:val="24"/>
          <w:szCs w:val="24"/>
        </w:rPr>
        <w:t xml:space="preserve">Typical Consumers</w:t>
      </w:r>
    </w:p>
    <w:p>
      <w:pPr>
        <w:spacing w:after="160" w:line="276"/>
      </w:pPr>
      <w:r>
        <w:rPr>
          <w:rFonts w:ascii="Calibri" w:cs="Calibri" w:eastAsia="Calibri" w:hAnsi="Calibri"/>
          <w:color w:val="1A1A1A"/>
          <w:sz w:val="21"/>
          <w:szCs w:val="21"/>
        </w:rPr>
        <w:t xml:space="preserve">The platform is a shared, multi-tenant-by-application service. Expected initial consumers include:</w:t>
      </w:r>
    </w:p>
    <w:p>
      <w:pPr>
        <w:pStyle w:val="ListParagraph"/>
        <w:numPr>
          <w:ilvl w:val="0"/>
          <w:numId w:val="2"/>
        </w:numPr>
        <w:spacing w:after="60" w:line="264"/>
      </w:pPr>
      <w:r>
        <w:rPr>
          <w:rFonts w:ascii="Calibri" w:cs="Calibri" w:eastAsia="Calibri" w:hAnsi="Calibri"/>
          <w:color w:val="1A1A1A"/>
          <w:sz w:val="21"/>
          <w:szCs w:val="21"/>
        </w:rPr>
        <w:t xml:space="preserve">Microservices — general-purpose business services emitting create/update/delete audit events.</w:t>
      </w:r>
    </w:p>
    <w:p>
      <w:pPr>
        <w:pStyle w:val="ListParagraph"/>
        <w:numPr>
          <w:ilvl w:val="0"/>
          <w:numId w:val="2"/>
        </w:numPr>
        <w:spacing w:after="60" w:line="264"/>
      </w:pPr>
      <w:r>
        <w:rPr>
          <w:rFonts w:ascii="Calibri" w:cs="Calibri" w:eastAsia="Calibri" w:hAnsi="Calibri"/>
          <w:color w:val="1A1A1A"/>
          <w:sz w:val="21"/>
          <w:szCs w:val="21"/>
        </w:rPr>
        <w:t xml:space="preserve">Admin portals — internal tooling where privileged users make configuration or data changes.</w:t>
      </w:r>
    </w:p>
    <w:p>
      <w:pPr>
        <w:pStyle w:val="ListParagraph"/>
        <w:numPr>
          <w:ilvl w:val="0"/>
          <w:numId w:val="2"/>
        </w:numPr>
        <w:spacing w:after="60" w:line="264"/>
      </w:pPr>
      <w:r>
        <w:rPr>
          <w:rFonts w:ascii="Calibri" w:cs="Calibri" w:eastAsia="Calibri" w:hAnsi="Calibri"/>
          <w:color w:val="1A1A1A"/>
          <w:sz w:val="21"/>
          <w:szCs w:val="21"/>
        </w:rPr>
        <w:t xml:space="preserve">Trading systems — order and position changes requiring strict, tamper-evident trails.</w:t>
      </w:r>
    </w:p>
    <w:p>
      <w:pPr>
        <w:pStyle w:val="ListParagraph"/>
        <w:numPr>
          <w:ilvl w:val="0"/>
          <w:numId w:val="2"/>
        </w:numPr>
        <w:spacing w:after="60" w:line="264"/>
      </w:pPr>
      <w:r>
        <w:rPr>
          <w:rFonts w:ascii="Calibri" w:cs="Calibri" w:eastAsia="Calibri" w:hAnsi="Calibri"/>
          <w:color w:val="1A1A1A"/>
          <w:sz w:val="21"/>
          <w:szCs w:val="21"/>
        </w:rPr>
        <w:t xml:space="preserve">Payment systems — transaction initiation, approval, and reversal events subject to PCI-DSS controls.</w:t>
      </w:r>
    </w:p>
    <w:p>
      <w:pPr>
        <w:pStyle w:val="ListParagraph"/>
        <w:numPr>
          <w:ilvl w:val="0"/>
          <w:numId w:val="2"/>
        </w:numPr>
        <w:spacing w:after="60" w:line="264"/>
      </w:pPr>
      <w:r>
        <w:rPr>
          <w:rFonts w:ascii="Calibri" w:cs="Calibri" w:eastAsia="Calibri" w:hAnsi="Calibri"/>
          <w:color w:val="1A1A1A"/>
          <w:sz w:val="21"/>
          <w:szCs w:val="21"/>
        </w:rPr>
        <w:t xml:space="preserve">Regulatory systems — filings, disclosures, and regulator-facing workflows.</w:t>
      </w:r>
    </w:p>
    <w:p>
      <w:pPr>
        <w:pStyle w:val="ListParagraph"/>
        <w:numPr>
          <w:ilvl w:val="0"/>
          <w:numId w:val="2"/>
        </w:numPr>
        <w:spacing w:after="60" w:line="264"/>
      </w:pPr>
      <w:r>
        <w:rPr>
          <w:rFonts w:ascii="Calibri" w:cs="Calibri" w:eastAsia="Calibri" w:hAnsi="Calibri"/>
          <w:color w:val="1A1A1A"/>
          <w:sz w:val="21"/>
          <w:szCs w:val="21"/>
        </w:rPr>
        <w:t xml:space="preserve">Internal applications — HR, finance, and other systems of record with sensitive data access.</w:t>
      </w:r>
    </w:p>
    <w:p>
      <w:pPr>
        <w:pStyle w:val="Heading1"/>
        <w:pBdr>
          <w:bottom w:val="single" w:color="1F3864" w:sz="8" w:space="4"/>
        </w:pBdr>
        <w:spacing w:after="200" w:before="480"/>
      </w:pPr>
      <w:r>
        <w:rPr>
          <w:rFonts w:ascii="Calibri" w:cs="Calibri" w:eastAsia="Calibri" w:hAnsi="Calibri"/>
          <w:b/>
          <w:bCs/>
          <w:color w:val="1F3864"/>
          <w:sz w:val="30"/>
          <w:szCs w:val="30"/>
        </w:rPr>
        <w:t xml:space="preserve">3.  Scope</w:t>
      </w:r>
    </w:p>
    <w:p>
      <w:pPr>
        <w:pStyle w:val="Heading2"/>
        <w:spacing w:after="140" w:before="320"/>
      </w:pPr>
      <w:r>
        <w:rPr>
          <w:rFonts w:ascii="Calibri" w:cs="Calibri" w:eastAsia="Calibri" w:hAnsi="Calibri"/>
          <w:b/>
          <w:bCs/>
          <w:color w:val="2E5395"/>
          <w:sz w:val="24"/>
          <w:szCs w:val="24"/>
        </w:rPr>
        <w:t xml:space="preserve">In Scope</w:t>
      </w:r>
    </w:p>
    <w:p>
      <w:pPr>
        <w:pStyle w:val="ListParagraph"/>
        <w:numPr>
          <w:ilvl w:val="0"/>
          <w:numId w:val="2"/>
        </w:numPr>
        <w:spacing w:after="60" w:line="264"/>
      </w:pPr>
      <w:r>
        <w:rPr>
          <w:rFonts w:ascii="Calibri" w:cs="Calibri" w:eastAsia="Calibri" w:hAnsi="Calibri"/>
          <w:color w:val="1A1A1A"/>
          <w:sz w:val="21"/>
          <w:szCs w:val="21"/>
        </w:rPr>
        <w:t xml:space="preserve">Audit event ingestion API (synchronous accept, asynchronous persistence).</w:t>
      </w:r>
    </w:p>
    <w:p>
      <w:pPr>
        <w:pStyle w:val="ListParagraph"/>
        <w:numPr>
          <w:ilvl w:val="0"/>
          <w:numId w:val="2"/>
        </w:numPr>
        <w:spacing w:after="60" w:line="264"/>
      </w:pPr>
      <w:r>
        <w:rPr>
          <w:rFonts w:ascii="Calibri" w:cs="Calibri" w:eastAsia="Calibri" w:hAnsi="Calibri"/>
          <w:color w:val="1A1A1A"/>
          <w:sz w:val="21"/>
          <w:szCs w:val="21"/>
        </w:rPr>
        <w:t xml:space="preserve">Durable, retryable event pipeline via AWS SQS.</w:t>
      </w:r>
    </w:p>
    <w:p>
      <w:pPr>
        <w:pStyle w:val="ListParagraph"/>
        <w:numPr>
          <w:ilvl w:val="0"/>
          <w:numId w:val="2"/>
        </w:numPr>
        <w:spacing w:after="60" w:line="264"/>
      </w:pPr>
      <w:r>
        <w:rPr>
          <w:rFonts w:ascii="Calibri" w:cs="Calibri" w:eastAsia="Calibri" w:hAnsi="Calibri"/>
          <w:color w:val="1A1A1A"/>
          <w:sz w:val="21"/>
          <w:szCs w:val="21"/>
        </w:rPr>
        <w:t xml:space="preserve">Audit Consumer Service: validation, idempotency, distributed locking, hash-chain generation, persistence.</w:t>
      </w:r>
    </w:p>
    <w:p>
      <w:pPr>
        <w:pStyle w:val="ListParagraph"/>
        <w:numPr>
          <w:ilvl w:val="0"/>
          <w:numId w:val="2"/>
        </w:numPr>
        <w:spacing w:after="60" w:line="264"/>
      </w:pPr>
      <w:r>
        <w:rPr>
          <w:rFonts w:ascii="Calibri" w:cs="Calibri" w:eastAsia="Calibri" w:hAnsi="Calibri"/>
          <w:color w:val="1A1A1A"/>
          <w:sz w:val="21"/>
          <w:szCs w:val="21"/>
        </w:rPr>
        <w:t xml:space="preserve">Operational audit store (MongoDB) with investigator-grade indexing and query API.</w:t>
      </w:r>
    </w:p>
    <w:p>
      <w:pPr>
        <w:pStyle w:val="ListParagraph"/>
        <w:numPr>
          <w:ilvl w:val="0"/>
          <w:numId w:val="2"/>
        </w:numPr>
        <w:spacing w:after="60" w:line="264"/>
      </w:pPr>
      <w:r>
        <w:rPr>
          <w:rFonts w:ascii="Calibri" w:cs="Calibri" w:eastAsia="Calibri" w:hAnsi="Calibri"/>
          <w:color w:val="1A1A1A"/>
          <w:sz w:val="21"/>
          <w:szCs w:val="21"/>
        </w:rPr>
        <w:t xml:space="preserve">Cryptographic integrity verification (hash chain) and a dedicated verification endpoint.</w:t>
      </w:r>
    </w:p>
    <w:p>
      <w:pPr>
        <w:pStyle w:val="ListParagraph"/>
        <w:numPr>
          <w:ilvl w:val="0"/>
          <w:numId w:val="2"/>
        </w:numPr>
        <w:spacing w:after="60" w:line="264"/>
      </w:pPr>
      <w:r>
        <w:rPr>
          <w:rFonts w:ascii="Calibri" w:cs="Calibri" w:eastAsia="Calibri" w:hAnsi="Calibri"/>
          <w:color w:val="1A1A1A"/>
          <w:sz w:val="21"/>
          <w:szCs w:val="21"/>
        </w:rPr>
        <w:t xml:space="preserve">Long-term archival to Amazon S3 with lifecycle policy and optional WORM retention.</w:t>
      </w:r>
    </w:p>
    <w:p>
      <w:pPr>
        <w:pStyle w:val="ListParagraph"/>
        <w:numPr>
          <w:ilvl w:val="0"/>
          <w:numId w:val="2"/>
        </w:numPr>
        <w:spacing w:after="60" w:line="264"/>
      </w:pPr>
      <w:r>
        <w:rPr>
          <w:rFonts w:ascii="Calibri" w:cs="Calibri" w:eastAsia="Calibri" w:hAnsi="Calibri"/>
          <w:color w:val="1A1A1A"/>
          <w:sz w:val="21"/>
          <w:szCs w:val="21"/>
        </w:rPr>
        <w:t xml:space="preserve">Real-time security alerting via Amazon SNS to email, Slack, and downstream security systems.</w:t>
      </w:r>
    </w:p>
    <w:p>
      <w:pPr>
        <w:pStyle w:val="ListParagraph"/>
        <w:numPr>
          <w:ilvl w:val="0"/>
          <w:numId w:val="2"/>
        </w:numPr>
        <w:spacing w:after="60" w:line="264"/>
      </w:pPr>
      <w:r>
        <w:rPr>
          <w:rFonts w:ascii="Calibri" w:cs="Calibri" w:eastAsia="Calibri" w:hAnsi="Calibri"/>
          <w:color w:val="1A1A1A"/>
          <w:sz w:val="21"/>
          <w:szCs w:val="21"/>
        </w:rPr>
        <w:t xml:space="preserve">Operational observability via Amazon CloudWatch (metrics, logs, alarms).</w:t>
      </w:r>
    </w:p>
    <w:p>
      <w:pPr>
        <w:pStyle w:val="ListParagraph"/>
        <w:numPr>
          <w:ilvl w:val="0"/>
          <w:numId w:val="2"/>
        </w:numPr>
        <w:spacing w:after="60" w:line="264"/>
      </w:pPr>
      <w:r>
        <w:rPr>
          <w:rFonts w:ascii="Calibri" w:cs="Calibri" w:eastAsia="Calibri" w:hAnsi="Calibri"/>
          <w:color w:val="1A1A1A"/>
          <w:sz w:val="21"/>
          <w:szCs w:val="21"/>
        </w:rPr>
        <w:t xml:space="preserve">Authentication (JWT / enterprise IdP) and role-based authorization (USER / AUDITOR / ADMIN).</w:t>
      </w:r>
    </w:p>
    <w:p>
      <w:pPr>
        <w:pStyle w:val="ListParagraph"/>
        <w:numPr>
          <w:ilvl w:val="0"/>
          <w:numId w:val="2"/>
        </w:numPr>
        <w:spacing w:after="60" w:line="264"/>
      </w:pPr>
      <w:r>
        <w:rPr>
          <w:rFonts w:ascii="Calibri" w:cs="Calibri" w:eastAsia="Calibri" w:hAnsi="Calibri"/>
          <w:color w:val="1A1A1A"/>
          <w:sz w:val="21"/>
          <w:szCs w:val="21"/>
        </w:rPr>
        <w:t xml:space="preserve">Audit Dashboard / Investigator UI (React) covering dashboard, audit log search, integrity monitoring, security alerts, and settings.</w:t>
      </w:r>
    </w:p>
    <w:p>
      <w:pPr>
        <w:pStyle w:val="Heading2"/>
        <w:spacing w:after="140" w:before="320"/>
      </w:pPr>
      <w:r>
        <w:rPr>
          <w:rFonts w:ascii="Calibri" w:cs="Calibri" w:eastAsia="Calibri" w:hAnsi="Calibri"/>
          <w:b/>
          <w:bCs/>
          <w:color w:val="2E5395"/>
          <w:sz w:val="24"/>
          <w:szCs w:val="24"/>
        </w:rPr>
        <w:t xml:space="preserve">Out of Scope (Phase 1)</w:t>
      </w:r>
    </w:p>
    <w:p>
      <w:pPr>
        <w:pStyle w:val="ListParagraph"/>
        <w:numPr>
          <w:ilvl w:val="0"/>
          <w:numId w:val="2"/>
        </w:numPr>
        <w:spacing w:after="60" w:line="264"/>
      </w:pPr>
      <w:r>
        <w:rPr>
          <w:rFonts w:ascii="Calibri" w:cs="Calibri" w:eastAsia="Calibri" w:hAnsi="Calibri"/>
          <w:color w:val="1A1A1A"/>
          <w:sz w:val="21"/>
          <w:szCs w:val="21"/>
        </w:rPr>
        <w:t xml:space="preserve">Automated regulatory report generation / filing submission (consumes audit data but is a separate system).</w:t>
      </w:r>
    </w:p>
    <w:p>
      <w:pPr>
        <w:pStyle w:val="ListParagraph"/>
        <w:numPr>
          <w:ilvl w:val="0"/>
          <w:numId w:val="2"/>
        </w:numPr>
        <w:spacing w:after="60" w:line="264"/>
      </w:pPr>
      <w:r>
        <w:rPr>
          <w:rFonts w:ascii="Calibri" w:cs="Calibri" w:eastAsia="Calibri" w:hAnsi="Calibri"/>
          <w:color w:val="1A1A1A"/>
          <w:sz w:val="21"/>
          <w:szCs w:val="21"/>
        </w:rPr>
        <w:t xml:space="preserve">Real-time behavioral/UEBA anomaly detection beyond threshold-based alerting rules.</w:t>
      </w:r>
    </w:p>
    <w:p>
      <w:pPr>
        <w:pStyle w:val="ListParagraph"/>
        <w:numPr>
          <w:ilvl w:val="0"/>
          <w:numId w:val="2"/>
        </w:numPr>
        <w:spacing w:after="60" w:line="264"/>
      </w:pPr>
      <w:r>
        <w:rPr>
          <w:rFonts w:ascii="Calibri" w:cs="Calibri" w:eastAsia="Calibri" w:hAnsi="Calibri"/>
          <w:color w:val="1A1A1A"/>
          <w:sz w:val="21"/>
          <w:szCs w:val="21"/>
        </w:rPr>
        <w:t xml:space="preserve">Cross-region active-active writes (Phase 1 is single-region active with DR standby — see Section 18).</w:t>
      </w:r>
    </w:p>
    <w:p>
      <w:pPr>
        <w:pStyle w:val="ListParagraph"/>
        <w:numPr>
          <w:ilvl w:val="0"/>
          <w:numId w:val="2"/>
        </w:numPr>
        <w:spacing w:after="60" w:line="264"/>
      </w:pPr>
      <w:r>
        <w:rPr>
          <w:rFonts w:ascii="Calibri" w:cs="Calibri" w:eastAsia="Calibri" w:hAnsi="Calibri"/>
          <w:color w:val="1A1A1A"/>
          <w:sz w:val="21"/>
          <w:szCs w:val="21"/>
        </w:rPr>
        <w:t xml:space="preserve">Client SDKs for languages other than Java/JVM at initial launch (REST API is available to all languages).</w:t>
      </w:r>
    </w:p>
    <w:p>
      <w:pPr>
        <w:pStyle w:val="ListParagraph"/>
        <w:numPr>
          <w:ilvl w:val="0"/>
          <w:numId w:val="2"/>
        </w:numPr>
        <w:spacing w:after="60" w:line="264"/>
      </w:pPr>
      <w:r>
        <w:rPr>
          <w:rFonts w:ascii="Calibri" w:cs="Calibri" w:eastAsia="Calibri" w:hAnsi="Calibri"/>
          <w:color w:val="1A1A1A"/>
          <w:sz w:val="21"/>
          <w:szCs w:val="21"/>
        </w:rPr>
        <w:t xml:space="preserve">MongoDB sharding (documented as a future scaling lever; not required for MVP load).</w:t>
      </w:r>
    </w:p>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Consuming applications are responsible for deciding *what* constitutes an auditable action. The platform is responsible for capturing, securing, and exposing that action durably and immutably once submitted.</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4.  High-Level Architecture</w:t>
      </w:r>
    </w:p>
    <w:p>
      <w:pPr>
        <w:spacing w:after="160" w:line="276"/>
      </w:pPr>
      <w:r>
        <w:rPr>
          <w:rFonts w:ascii="Calibri" w:cs="Calibri" w:eastAsia="Calibri" w:hAnsi="Calibri"/>
          <w:color w:val="1A1A1A"/>
          <w:sz w:val="21"/>
          <w:szCs w:val="21"/>
        </w:rPr>
        <w:t xml:space="preserve">The platform is organized as a decoupled, event-driven pipeline. Audit-producing systems call a thin, stateless API that authenticates and validates the request, then hands the event to a durable queue and returns immediately. A separate consumer tier performs the expensive work — idempotency checks, distributed locking where needed, hash-chain computation, and persistence — off the request path of the calling application.</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4.1 — End-to-End Platform Architecture</w:t>
            </w:r>
          </w:p>
          <w:p>
            <w:pPr>
              <w:spacing w:after="0"/>
            </w:pPr>
            <w:r>
              <w:rPr>
                <w:rFonts w:ascii="Consolas" w:cs="Consolas" w:eastAsia="Consolas" w:hAnsi="Consolas"/>
                <w:color w:val="0B2447"/>
                <w:sz w:val="17"/>
                <w:szCs w:val="17"/>
              </w:rPr>
              <w:t xml:space="preserve">   Clients / Internal Systems</w:t>
            </w:r>
          </w:p>
          <w:p>
            <w:pPr>
              <w:spacing w:after="0"/>
            </w:pPr>
            <w:r>
              <w:rPr>
                <w:rFonts w:ascii="Consolas" w:cs="Consolas" w:eastAsia="Consolas" w:hAnsi="Consolas"/>
                <w:color w:val="0B2447"/>
                <w:sz w:val="17"/>
                <w:szCs w:val="17"/>
              </w:rPr>
              <w:t xml:space="preserve">   (Microservices, Admin Portals, Trading,</w:t>
            </w:r>
          </w:p>
          <w:p>
            <w:pPr>
              <w:spacing w:after="0"/>
            </w:pPr>
            <w:r>
              <w:rPr>
                <w:rFonts w:ascii="Consolas" w:cs="Consolas" w:eastAsia="Consolas" w:hAnsi="Consolas"/>
                <w:color w:val="0B2447"/>
                <w:sz w:val="17"/>
                <w:szCs w:val="17"/>
              </w:rPr>
              <w:t xml:space="preserve">    Payments, Regulatory, Internal Apps)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Audit Event (HTTPS/REST)</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API Gateway / Load      |</w:t>
            </w:r>
          </w:p>
          <w:p>
            <w:pPr>
              <w:spacing w:after="0"/>
            </w:pPr>
            <w:r>
              <w:rPr>
                <w:rFonts w:ascii="Consolas" w:cs="Consolas" w:eastAsia="Consolas" w:hAnsi="Consolas"/>
                <w:color w:val="0B2447"/>
                <w:sz w:val="17"/>
                <w:szCs w:val="17"/>
              </w:rPr>
              <w:t xml:space="preserve">        |        Balancer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Audit API Service     |</w:t>
            </w:r>
          </w:p>
          <w:p>
            <w:pPr>
              <w:spacing w:after="0"/>
            </w:pPr>
            <w:r>
              <w:rPr>
                <w:rFonts w:ascii="Consolas" w:cs="Consolas" w:eastAsia="Consolas" w:hAnsi="Consolas"/>
                <w:color w:val="0B2447"/>
                <w:sz w:val="17"/>
                <w:szCs w:val="17"/>
              </w:rPr>
              <w:t xml:space="preserve">        |  Spring Boot / WebFlux    |</w:t>
            </w:r>
          </w:p>
          <w:p>
            <w:pPr>
              <w:spacing w:after="0"/>
            </w:pPr>
            <w:r>
              <w:rPr>
                <w:rFonts w:ascii="Consolas" w:cs="Consolas" w:eastAsia="Consolas" w:hAnsi="Consolas"/>
                <w:color w:val="0B2447"/>
                <w:sz w:val="17"/>
                <w:szCs w:val="17"/>
              </w:rPr>
              <w:t xml:space="preserve">        |  AuthN -&gt; Validate -&gt;     |</w:t>
            </w:r>
          </w:p>
          <w:p>
            <w:pPr>
              <w:spacing w:after="0"/>
            </w:pPr>
            <w:r>
              <w:rPr>
                <w:rFonts w:ascii="Consolas" w:cs="Consolas" w:eastAsia="Consolas" w:hAnsi="Consolas"/>
                <w:color w:val="0B2447"/>
                <w:sz w:val="17"/>
                <w:szCs w:val="17"/>
              </w:rPr>
              <w:t xml:space="preserve">        |  Publish (no DB write)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AWS SQS  |</w:t>
            </w:r>
          </w:p>
          <w:p>
            <w:pPr>
              <w:spacing w:after="0"/>
            </w:pPr>
            <w:r>
              <w:rPr>
                <w:rFonts w:ascii="Consolas" w:cs="Consolas" w:eastAsia="Consolas" w:hAnsi="Consolas"/>
                <w:color w:val="0B2447"/>
                <w:sz w:val="17"/>
                <w:szCs w:val="17"/>
              </w:rPr>
              <w:t xml:space="preserve">                 |   Queue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async consumption</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Audit Consumer Service  |</w:t>
            </w:r>
          </w:p>
          <w:p>
            <w:pPr>
              <w:spacing w:after="0"/>
            </w:pPr>
            <w:r>
              <w:rPr>
                <w:rFonts w:ascii="Consolas" w:cs="Consolas" w:eastAsia="Consolas" w:hAnsi="Consolas"/>
                <w:color w:val="0B2447"/>
                <w:sz w:val="17"/>
                <w:szCs w:val="17"/>
              </w:rPr>
              <w:t xml:space="preserve">        |  Validation | Idempotency |</w:t>
            </w:r>
          </w:p>
          <w:p>
            <w:pPr>
              <w:spacing w:after="0"/>
            </w:pPr>
            <w:r>
              <w:rPr>
                <w:rFonts w:ascii="Consolas" w:cs="Consolas" w:eastAsia="Consolas" w:hAnsi="Consolas"/>
                <w:color w:val="0B2447"/>
                <w:sz w:val="17"/>
                <w:szCs w:val="17"/>
              </w:rPr>
              <w:t xml:space="preserve">        |  Redis Lock | Hash Chain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       |</w:t>
            </w:r>
          </w:p>
          <w:p>
            <w:pPr>
              <w:spacing w:after="0"/>
            </w:pPr>
            <w:r>
              <w:rPr>
                <w:rFonts w:ascii="Consolas" w:cs="Consolas" w:eastAsia="Consolas" w:hAnsi="Consolas"/>
                <w:color w:val="0B2447"/>
                <w:sz w:val="17"/>
                <w:szCs w:val="17"/>
              </w:rPr>
              <w:t xml:space="preserve">            v           v       v</w:t>
            </w:r>
          </w:p>
          <w:p>
            <w:pPr>
              <w:spacing w:after="0"/>
            </w:pPr>
            <w:r>
              <w:rPr>
                <w:rFonts w:ascii="Consolas" w:cs="Consolas" w:eastAsia="Consolas" w:hAnsi="Consolas"/>
                <w:color w:val="0B2447"/>
                <w:sz w:val="17"/>
                <w:szCs w:val="17"/>
              </w:rPr>
              <w:t xml:space="preserve">      +--------+   +--------+ +--------+</w:t>
            </w:r>
          </w:p>
          <w:p>
            <w:pPr>
              <w:spacing w:after="0"/>
            </w:pPr>
            <w:r>
              <w:rPr>
                <w:rFonts w:ascii="Consolas" w:cs="Consolas" w:eastAsia="Consolas" w:hAnsi="Consolas"/>
                <w:color w:val="0B2447"/>
                <w:sz w:val="17"/>
                <w:szCs w:val="17"/>
              </w:rPr>
              <w:t xml:space="preserve">      |MongoDB |   | Redis  | |  SNS   |</w:t>
            </w:r>
          </w:p>
          <w:p>
            <w:pPr>
              <w:spacing w:after="0"/>
            </w:pPr>
            <w:r>
              <w:rPr>
                <w:rFonts w:ascii="Consolas" w:cs="Consolas" w:eastAsia="Consolas" w:hAnsi="Consolas"/>
                <w:color w:val="0B2447"/>
                <w:sz w:val="17"/>
                <w:szCs w:val="17"/>
              </w:rPr>
              <w:t xml:space="preserve">      |Audit DB|   | Locks  | | Alerts |</w:t>
            </w:r>
          </w:p>
          <w:p>
            <w:pPr>
              <w:spacing w:after="0"/>
            </w:pPr>
            <w:r>
              <w:rPr>
                <w:rFonts w:ascii="Consolas" w:cs="Consolas" w:eastAsia="Consolas" w:hAnsi="Consolas"/>
                <w:color w:val="0B2447"/>
                <w:sz w:val="17"/>
                <w:szCs w:val="17"/>
              </w:rPr>
              <w:t xml:space="preserve">      +---+----+   +--------+ +---+----+</w:t>
            </w:r>
          </w:p>
          <w:p>
            <w:pPr>
              <w:spacing w:after="0"/>
            </w:pPr>
            <w:r>
              <w:rPr>
                <w:rFonts w:ascii="Consolas" w:cs="Consolas" w:eastAsia="Consolas" w:hAnsi="Consolas"/>
                <w:color w:val="0B2447"/>
                <w:sz w:val="17"/>
                <w:szCs w:val="17"/>
              </w:rPr>
              <w:t xml:space="preserve">          |                       |</w:t>
            </w:r>
          </w:p>
          <w:p>
            <w:pPr>
              <w:spacing w:after="0"/>
            </w:pPr>
            <w:r>
              <w:rPr>
                <w:rFonts w:ascii="Consolas" w:cs="Consolas" w:eastAsia="Consolas" w:hAnsi="Consolas"/>
                <w:color w:val="0B2447"/>
                <w:sz w:val="17"/>
                <w:szCs w:val="17"/>
              </w:rPr>
              <w:t xml:space="preserve">    +-----+-----+             Notifications</w:t>
            </w:r>
          </w:p>
          <w:p>
            <w:pPr>
              <w:spacing w:after="0"/>
            </w:pPr>
            <w:r>
              <w:rPr>
                <w:rFonts w:ascii="Consolas" w:cs="Consolas" w:eastAsia="Consolas" w:hAnsi="Consolas"/>
                <w:color w:val="0B2447"/>
                <w:sz w:val="17"/>
                <w:szCs w:val="17"/>
              </w:rPr>
              <w:t xml:space="preserve">    v           v              (Email/Slack/SIEM)</w:t>
            </w:r>
          </w:p>
          <w:p>
            <w:pPr>
              <w:spacing w:after="0"/>
            </w:pPr>
            <w:r>
              <w:rPr>
                <w:rFonts w:ascii="Consolas" w:cs="Consolas" w:eastAsia="Consolas" w:hAnsi="Consolas"/>
                <w:color w:val="0B2447"/>
                <w:sz w:val="17"/>
                <w:szCs w:val="17"/>
              </w:rPr>
              <w:t xml:space="preserve"> Search /   Verification</w:t>
            </w:r>
          </w:p>
          <w:p>
            <w:pPr>
              <w:spacing w:after="0"/>
            </w:pPr>
            <w:r>
              <w:rPr>
                <w:rFonts w:ascii="Consolas" w:cs="Consolas" w:eastAsia="Consolas" w:hAnsi="Consolas"/>
                <w:color w:val="0B2447"/>
                <w:sz w:val="17"/>
                <w:szCs w:val="17"/>
              </w:rPr>
              <w:t xml:space="preserve"> Query      (Hash Chain Validation)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Audit Dashboard /       |</w:t>
            </w:r>
          </w:p>
          <w:p>
            <w:pPr>
              <w:spacing w:after="0"/>
            </w:pPr>
            <w:r>
              <w:rPr>
                <w:rFonts w:ascii="Consolas" w:cs="Consolas" w:eastAsia="Consolas" w:hAnsi="Consolas"/>
                <w:color w:val="0B2447"/>
                <w:sz w:val="17"/>
                <w:szCs w:val="17"/>
              </w:rPr>
              <w:t xml:space="preserve"> | Investigator UI (React)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MongoDB --(retention policy / archival)--&gt; AWS S3 (Archive)</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All tiers emit metrics/logs -&gt; Amazon CloudWatch (Metrics/Logs/Alarms)</w:t>
            </w:r>
          </w:p>
        </w:tc>
      </w:tr>
    </w:tbl>
    <w:p>
      <w:pPr>
        <w:pStyle w:val="Heading2"/>
        <w:spacing w:after="140" w:before="320"/>
      </w:pPr>
      <w:r>
        <w:rPr>
          <w:rFonts w:ascii="Calibri" w:cs="Calibri" w:eastAsia="Calibri" w:hAnsi="Calibri"/>
          <w:b/>
          <w:bCs/>
          <w:color w:val="2E5395"/>
          <w:sz w:val="24"/>
          <w:szCs w:val="24"/>
        </w:rPr>
        <w:t xml:space="preserve">Architectural Style</w:t>
      </w:r>
    </w:p>
    <w:p>
      <w:pPr>
        <w:pStyle w:val="ListParagraph"/>
        <w:numPr>
          <w:ilvl w:val="0"/>
          <w:numId w:val="2"/>
        </w:numPr>
        <w:spacing w:after="60" w:line="264"/>
      </w:pPr>
      <w:r>
        <w:rPr>
          <w:rFonts w:ascii="Calibri" w:cs="Calibri" w:eastAsia="Calibri" w:hAnsi="Calibri"/>
          <w:color w:val="1A1A1A"/>
          <w:sz w:val="21"/>
          <w:szCs w:val="21"/>
        </w:rPr>
        <w:t xml:space="preserve">Event-driven, asynchronous ingestion — decouples producer availability/latency from consumer/storage availability.</w:t>
      </w:r>
    </w:p>
    <w:p>
      <w:pPr>
        <w:pStyle w:val="ListParagraph"/>
        <w:numPr>
          <w:ilvl w:val="0"/>
          <w:numId w:val="2"/>
        </w:numPr>
        <w:spacing w:after="60" w:line="264"/>
      </w:pPr>
      <w:r>
        <w:rPr>
          <w:rFonts w:ascii="Calibri" w:cs="Calibri" w:eastAsia="Calibri" w:hAnsi="Calibri"/>
          <w:color w:val="1A1A1A"/>
          <w:sz w:val="21"/>
          <w:szCs w:val="21"/>
        </w:rPr>
        <w:t xml:space="preserve">Stateless service tiers — API and Consumer instances hold no session state and scale horizontally behind their respective triggers (request load / queue depth).</w:t>
      </w:r>
    </w:p>
    <w:p>
      <w:pPr>
        <w:pStyle w:val="ListParagraph"/>
        <w:numPr>
          <w:ilvl w:val="0"/>
          <w:numId w:val="2"/>
        </w:numPr>
        <w:spacing w:after="60" w:line="264"/>
      </w:pPr>
      <w:r>
        <w:rPr>
          <w:rFonts w:ascii="Calibri" w:cs="Calibri" w:eastAsia="Calibri" w:hAnsi="Calibri"/>
          <w:color w:val="1A1A1A"/>
          <w:sz w:val="21"/>
          <w:szCs w:val="21"/>
        </w:rPr>
        <w:t xml:space="preserve">Single responsibility per component — the API accepts and serves reads; the Consumer owns write-path integrity; storage tiers are purpose-specific (operational vs. archival).</w:t>
      </w:r>
    </w:p>
    <w:p>
      <w:pPr>
        <w:pStyle w:val="ListParagraph"/>
        <w:numPr>
          <w:ilvl w:val="0"/>
          <w:numId w:val="2"/>
        </w:numPr>
        <w:spacing w:after="60" w:line="264"/>
      </w:pPr>
      <w:r>
        <w:rPr>
          <w:rFonts w:ascii="Calibri" w:cs="Calibri" w:eastAsia="Calibri" w:hAnsi="Calibri"/>
          <w:color w:val="1A1A1A"/>
          <w:sz w:val="21"/>
          <w:szCs w:val="21"/>
        </w:rPr>
        <w:t xml:space="preserve">Defense in depth — network segmentation, AuthN/AuthZ at the edge and per-endpoint, and cryptographic tamper-evidence at the data layer.</w:t>
      </w:r>
    </w:p>
    <w:p>
      <w:pPr>
        <w:pStyle w:val="ListParagraph"/>
        <w:numPr>
          <w:ilvl w:val="0"/>
          <w:numId w:val="2"/>
        </w:numPr>
        <w:spacing w:after="60" w:line="264"/>
      </w:pPr>
      <w:r>
        <w:rPr>
          <w:rFonts w:ascii="Calibri" w:cs="Calibri" w:eastAsia="Calibri" w:hAnsi="Calibri"/>
          <w:color w:val="1A1A1A"/>
          <w:sz w:val="21"/>
          <w:szCs w:val="21"/>
        </w:rPr>
        <w:t xml:space="preserve">Eventual consistency on the write path is acceptable and expected — a submitted event is durably queued immediately but may take milliseconds-to-seconds to become queryable, which is an explicit, communicated trade-off in exchange for zero blocking of the business transaction.</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5.  Core Components</w:t>
      </w:r>
    </w:p>
    <w:p>
      <w:pPr>
        <w:pStyle w:val="Heading2"/>
        <w:spacing w:after="140" w:before="320"/>
      </w:pPr>
      <w:r>
        <w:rPr>
          <w:rFonts w:ascii="Calibri" w:cs="Calibri" w:eastAsia="Calibri" w:hAnsi="Calibri"/>
          <w:b/>
          <w:bCs/>
          <w:color w:val="2E5395"/>
          <w:sz w:val="24"/>
          <w:szCs w:val="24"/>
        </w:rPr>
        <w:t xml:space="preserve">5.1  Audit API Service</w:t>
      </w:r>
    </w:p>
    <w:p>
      <w:pPr>
        <w:spacing w:after="160" w:line="276"/>
      </w:pPr>
      <w:r>
        <w:rPr>
          <w:rFonts w:ascii="Calibri" w:cs="Calibri" w:eastAsia="Calibri" w:hAnsi="Calibri"/>
          <w:color w:val="1A1A1A"/>
          <w:sz w:val="21"/>
          <w:szCs w:val="21"/>
        </w:rPr>
        <w:t xml:space="preserve">Technology: Java, Spring Boot, Spring WebFlux (reactive, non-blocking I/O), REST over HTTPS.</w:t>
      </w:r>
    </w:p>
    <w:p>
      <w:pPr>
        <w:spacing w:after="160" w:line="276"/>
      </w:pPr>
      <w:r>
        <w:rPr>
          <w:rFonts w:ascii="Calibri" w:cs="Calibri" w:eastAsia="Calibri" w:hAnsi="Calibri"/>
          <w:color w:val="1A1A1A"/>
          <w:sz w:val="21"/>
          <w:szCs w:val="21"/>
        </w:rPr>
        <w:t xml:space="preserve">The Audit API is the platform's single ingress and egress point for consuming applications. Its ingestion path is intentionally thin: it must never perform expensive or blocking persistence operations synchronously, since doing so would reintroduce the very coupling the architecture is designed to eliminate.</w:t>
      </w:r>
    </w:p>
    <w:p>
      <w:pPr>
        <w:pStyle w:val="Heading3"/>
        <w:spacing w:after="100" w:before="220"/>
      </w:pPr>
      <w:r>
        <w:rPr>
          <w:rFonts w:ascii="Calibri" w:cs="Calibri" w:eastAsia="Calibri" w:hAnsi="Calibri"/>
          <w:b/>
          <w:bCs/>
          <w:color w:val="1A1A1A"/>
          <w:sz w:val="22"/>
          <w:szCs w:val="22"/>
        </w:rPr>
        <w:t xml:space="preserve">Responsibilities</w:t>
      </w:r>
    </w:p>
    <w:p>
      <w:pPr>
        <w:pStyle w:val="ListParagraph"/>
        <w:numPr>
          <w:ilvl w:val="0"/>
          <w:numId w:val="2"/>
        </w:numPr>
        <w:spacing w:after="60" w:line="264"/>
      </w:pPr>
      <w:r>
        <w:rPr>
          <w:rFonts w:ascii="Calibri" w:cs="Calibri" w:eastAsia="Calibri" w:hAnsi="Calibri"/>
          <w:color w:val="1A1A1A"/>
          <w:sz w:val="21"/>
          <w:szCs w:val="21"/>
        </w:rPr>
        <w:t xml:space="preserve">Accept audit events over REST.</w:t>
      </w:r>
    </w:p>
    <w:p>
      <w:pPr>
        <w:pStyle w:val="ListParagraph"/>
        <w:numPr>
          <w:ilvl w:val="0"/>
          <w:numId w:val="2"/>
        </w:numPr>
        <w:spacing w:after="60" w:line="264"/>
      </w:pPr>
      <w:r>
        <w:rPr>
          <w:rFonts w:ascii="Calibri" w:cs="Calibri" w:eastAsia="Calibri" w:hAnsi="Calibri"/>
          <w:color w:val="1A1A1A"/>
          <w:sz w:val="21"/>
          <w:szCs w:val="21"/>
        </w:rPr>
        <w:t xml:space="preserve">Authenticate requests (JWT bearer token validated against the enterprise Identity Provider).</w:t>
      </w:r>
    </w:p>
    <w:p>
      <w:pPr>
        <w:pStyle w:val="ListParagraph"/>
        <w:numPr>
          <w:ilvl w:val="0"/>
          <w:numId w:val="2"/>
        </w:numPr>
        <w:spacing w:after="60" w:line="264"/>
      </w:pPr>
      <w:r>
        <w:rPr>
          <w:rFonts w:ascii="Calibri" w:cs="Calibri" w:eastAsia="Calibri" w:hAnsi="Calibri"/>
          <w:color w:val="1A1A1A"/>
          <w:sz w:val="21"/>
          <w:szCs w:val="21"/>
        </w:rPr>
        <w:t xml:space="preserve">Validate payload structure, required fields, and size limits.</w:t>
      </w:r>
    </w:p>
    <w:p>
      <w:pPr>
        <w:pStyle w:val="ListParagraph"/>
        <w:numPr>
          <w:ilvl w:val="0"/>
          <w:numId w:val="2"/>
        </w:numPr>
        <w:spacing w:after="60" w:line="264"/>
      </w:pPr>
      <w:r>
        <w:rPr>
          <w:rFonts w:ascii="Calibri" w:cs="Calibri" w:eastAsia="Calibri" w:hAnsi="Calibri"/>
          <w:color w:val="1A1A1A"/>
          <w:sz w:val="21"/>
          <w:szCs w:val="21"/>
        </w:rPr>
        <w:t xml:space="preserve">Stamp a server-side timestamp (never trust client-supplied time for the authoritative record).</w:t>
      </w:r>
    </w:p>
    <w:p>
      <w:pPr>
        <w:pStyle w:val="ListParagraph"/>
        <w:numPr>
          <w:ilvl w:val="0"/>
          <w:numId w:val="2"/>
        </w:numPr>
        <w:spacing w:after="60" w:line="264"/>
      </w:pPr>
      <w:r>
        <w:rPr>
          <w:rFonts w:ascii="Calibri" w:cs="Calibri" w:eastAsia="Calibri" w:hAnsi="Calibri"/>
          <w:color w:val="1A1A1A"/>
          <w:sz w:val="21"/>
          <w:szCs w:val="21"/>
        </w:rPr>
        <w:t xml:space="preserve">Generate or propagate a correlation ID for distributed tracing across the pipeline.</w:t>
      </w:r>
    </w:p>
    <w:p>
      <w:pPr>
        <w:pStyle w:val="ListParagraph"/>
        <w:numPr>
          <w:ilvl w:val="0"/>
          <w:numId w:val="2"/>
        </w:numPr>
        <w:spacing w:after="60" w:line="264"/>
      </w:pPr>
      <w:r>
        <w:rPr>
          <w:rFonts w:ascii="Calibri" w:cs="Calibri" w:eastAsia="Calibri" w:hAnsi="Calibri"/>
          <w:color w:val="1A1A1A"/>
          <w:sz w:val="21"/>
          <w:szCs w:val="21"/>
        </w:rPr>
        <w:t xml:space="preserve">Publish the validated event to SQS and acknowledge the caller.</w:t>
      </w:r>
    </w:p>
    <w:p>
      <w:pPr>
        <w:pStyle w:val="ListParagraph"/>
        <w:numPr>
          <w:ilvl w:val="0"/>
          <w:numId w:val="2"/>
        </w:numPr>
        <w:spacing w:after="60" w:line="264"/>
      </w:pPr>
      <w:r>
        <w:rPr>
          <w:rFonts w:ascii="Calibri" w:cs="Calibri" w:eastAsia="Calibri" w:hAnsi="Calibri"/>
          <w:color w:val="1A1A1A"/>
          <w:sz w:val="21"/>
          <w:szCs w:val="21"/>
        </w:rPr>
        <w:t xml:space="preserve">Serve read/query traffic against the operational store.</w:t>
      </w:r>
    </w:p>
    <w:p>
      <w:pPr>
        <w:pStyle w:val="ListParagraph"/>
        <w:numPr>
          <w:ilvl w:val="0"/>
          <w:numId w:val="2"/>
        </w:numPr>
        <w:spacing w:after="60" w:line="264"/>
      </w:pPr>
      <w:r>
        <w:rPr>
          <w:rFonts w:ascii="Calibri" w:cs="Calibri" w:eastAsia="Calibri" w:hAnsi="Calibri"/>
          <w:color w:val="1A1A1A"/>
          <w:sz w:val="21"/>
          <w:szCs w:val="21"/>
        </w:rPr>
        <w:t xml:space="preserve">Trigger and serve integrity verification results.</w:t>
      </w:r>
    </w:p>
    <w:p>
      <w:pPr>
        <w:pStyle w:val="ListParagraph"/>
        <w:numPr>
          <w:ilvl w:val="0"/>
          <w:numId w:val="2"/>
        </w:numPr>
        <w:spacing w:after="60" w:line="264"/>
      </w:pPr>
      <w:r>
        <w:rPr>
          <w:rFonts w:ascii="Calibri" w:cs="Calibri" w:eastAsia="Calibri" w:hAnsi="Calibri"/>
          <w:color w:val="1A1A1A"/>
          <w:sz w:val="21"/>
          <w:szCs w:val="21"/>
        </w:rPr>
        <w:t xml:space="preserve">Expose administrative APIs (role management, configuration) to ADMIN-scoped callers only.</w:t>
      </w:r>
    </w:p>
    <w:p>
      <w:pPr>
        <w:pStyle w:val="Heading3"/>
        <w:spacing w:after="100" w:before="220"/>
      </w:pPr>
      <w:r>
        <w:rPr>
          <w:rFonts w:ascii="Calibri" w:cs="Calibri" w:eastAsia="Calibri" w:hAnsi="Calibri"/>
          <w:b/>
          <w:bCs/>
          <w:color w:val="1A1A1A"/>
          <w:sz w:val="22"/>
          <w:szCs w:val="22"/>
        </w:rPr>
        <w:t xml:space="preserve">API Surface (illustrative)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4200"/>
        <w:gridCol w:w="1900"/>
      </w:tblGrid>
      <w:tr>
        <w:trPr>
          <w:tblHeader/>
        </w:trPr>
        <w:tc>
          <w:tcPr>
            <w:tcW w:type="dxa" w:w="3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Method &amp; Path</w:t>
            </w:r>
          </w:p>
        </w:tc>
        <w:tc>
          <w:tcPr>
            <w:tcW w:type="dxa" w:w="42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Purpose</w:t>
            </w:r>
          </w:p>
        </w:tc>
        <w:tc>
          <w:tcPr>
            <w:tcW w:type="dxa" w:w="1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Min. Role</w:t>
            </w:r>
          </w:p>
        </w:tc>
      </w:tr>
      <w:tr>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POST /api/v1/audit-events</w:t>
            </w:r>
          </w:p>
        </w:tc>
        <w:tc>
          <w:tcPr>
            <w:tcW w:type="dxa" w:w="4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Submit a new audit event for asynchronous processing</w:t>
            </w:r>
          </w:p>
        </w:tc>
        <w:tc>
          <w:tcPr>
            <w:tcW w:type="dxa" w:w="1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Service-to-service (mTLS/JWT)</w:t>
            </w:r>
          </w:p>
        </w:tc>
      </w:tr>
      <w:tr>
        <w:tc>
          <w:tcPr>
            <w:tcW w:type="dxa" w:w="3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/api/v1/audit-events</w:t>
            </w:r>
          </w:p>
        </w:tc>
        <w:tc>
          <w:tcPr>
            <w:tcW w:type="dxa" w:w="4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Search/query audit events with filters and pagination</w:t>
            </w:r>
          </w:p>
        </w:tc>
        <w:tc>
          <w:tcPr>
            <w:tcW w:type="dxa" w:w="1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AUDITOR</w:t>
            </w:r>
          </w:p>
        </w:tc>
      </w:tr>
      <w:tr>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/api/v1/audit-events/{id}</w:t>
            </w:r>
          </w:p>
        </w:tc>
        <w:tc>
          <w:tcPr>
            <w:tcW w:type="dxa" w:w="4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Retrieve a single audit event with full detail</w:t>
            </w:r>
          </w:p>
        </w:tc>
        <w:tc>
          <w:tcPr>
            <w:tcW w:type="dxa" w:w="1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AUDITOR</w:t>
            </w:r>
          </w:p>
        </w:tc>
      </w:tr>
      <w:tr>
        <w:tc>
          <w:tcPr>
            <w:tcW w:type="dxa" w:w="3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GET /api/v1/audit-events/verify</w:t>
            </w:r>
          </w:p>
        </w:tc>
        <w:tc>
          <w:tcPr>
            <w:tcW w:type="dxa" w:w="4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Run/report hash-chain integrity verification</w:t>
            </w:r>
          </w:p>
        </w:tc>
        <w:tc>
          <w:tcPr>
            <w:tcW w:type="dxa" w:w="1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AUDITOR</w:t>
            </w:r>
          </w:p>
        </w:tc>
      </w:tr>
    </w:tbl>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The full request/response contracts, pagination model, and error schema are defined in the companion Low-Level Design and OpenAPI specification — not duplicated here to avoid drift between documents.</w:t>
            </w:r>
          </w:p>
        </w:tc>
      </w:tr>
    </w:tbl>
    <w:p>
      <w:pPr>
        <w:pStyle w:val="Heading2"/>
        <w:spacing w:after="140" w:before="320"/>
      </w:pPr>
      <w:r>
        <w:rPr>
          <w:rFonts w:ascii="Calibri" w:cs="Calibri" w:eastAsia="Calibri" w:hAnsi="Calibri"/>
          <w:b/>
          <w:bCs/>
          <w:color w:val="2E5395"/>
          <w:sz w:val="24"/>
          <w:szCs w:val="24"/>
        </w:rPr>
        <w:t xml:space="preserve">5.2  Audit Consumer Service</w:t>
      </w:r>
    </w:p>
    <w:p>
      <w:pPr>
        <w:spacing w:after="160" w:line="276"/>
      </w:pPr>
      <w:r>
        <w:rPr>
          <w:rFonts w:ascii="Calibri" w:cs="Calibri" w:eastAsia="Calibri" w:hAnsi="Calibri"/>
          <w:color w:val="1A1A1A"/>
          <w:sz w:val="21"/>
          <w:szCs w:val="21"/>
        </w:rPr>
        <w:t xml:space="preserve">The Consumer is the platform's write authority. It is the only component permitted to persist events into the operational store, which keeps the integrity and idempotency logic in one place rather than duplicated across producers.</w:t>
      </w:r>
    </w:p>
    <w:p>
      <w:pPr>
        <w:pStyle w:val="Heading3"/>
        <w:spacing w:after="100" w:before="220"/>
      </w:pPr>
      <w:r>
        <w:rPr>
          <w:rFonts w:ascii="Calibri" w:cs="Calibri" w:eastAsia="Calibri" w:hAnsi="Calibri"/>
          <w:b/>
          <w:bCs/>
          <w:color w:val="1A1A1A"/>
          <w:sz w:val="22"/>
          <w:szCs w:val="22"/>
        </w:rPr>
        <w:t xml:space="preserve">Responsibilities</w:t>
      </w:r>
    </w:p>
    <w:p>
      <w:pPr>
        <w:pStyle w:val="ListParagraph"/>
        <w:numPr>
          <w:ilvl w:val="0"/>
          <w:numId w:val="2"/>
        </w:numPr>
        <w:spacing w:after="60" w:line="264"/>
      </w:pPr>
      <w:r>
        <w:rPr>
          <w:rFonts w:ascii="Calibri" w:cs="Calibri" w:eastAsia="Calibri" w:hAnsi="Calibri"/>
          <w:color w:val="1A1A1A"/>
          <w:sz w:val="21"/>
          <w:szCs w:val="21"/>
        </w:rPr>
        <w:t xml:space="preserve">Consume messages from SQS asynchronously, honoring visibility timeout and backoff/retry semantics.</w:t>
      </w:r>
    </w:p>
    <w:p>
      <w:pPr>
        <w:pStyle w:val="ListParagraph"/>
        <w:numPr>
          <w:ilvl w:val="0"/>
          <w:numId w:val="2"/>
        </w:numPr>
        <w:spacing w:after="60" w:line="264"/>
      </w:pPr>
      <w:r>
        <w:rPr>
          <w:rFonts w:ascii="Calibri" w:cs="Calibri" w:eastAsia="Calibri" w:hAnsi="Calibri"/>
          <w:color w:val="1A1A1A"/>
          <w:sz w:val="21"/>
          <w:szCs w:val="21"/>
        </w:rPr>
        <w:t xml:space="preserve">Re-validate event payloads defensively (never trust upstream validation alone).</w:t>
      </w:r>
    </w:p>
    <w:p>
      <w:pPr>
        <w:pStyle w:val="ListParagraph"/>
        <w:numPr>
          <w:ilvl w:val="0"/>
          <w:numId w:val="2"/>
        </w:numPr>
        <w:spacing w:after="60" w:line="264"/>
      </w:pPr>
      <w:r>
        <w:rPr>
          <w:rFonts w:ascii="Calibri" w:cs="Calibri" w:eastAsia="Calibri" w:hAnsi="Calibri"/>
          <w:color w:val="1A1A1A"/>
          <w:sz w:val="21"/>
          <w:szCs w:val="21"/>
        </w:rPr>
        <w:t xml:space="preserve">Enforce idempotency using a unique event ID so redelivered messages do not create duplicate audit records.</w:t>
      </w:r>
    </w:p>
    <w:p>
      <w:pPr>
        <w:pStyle w:val="ListParagraph"/>
        <w:numPr>
          <w:ilvl w:val="0"/>
          <w:numId w:val="2"/>
        </w:numPr>
        <w:spacing w:after="60" w:line="264"/>
      </w:pPr>
      <w:r>
        <w:rPr>
          <w:rFonts w:ascii="Calibri" w:cs="Calibri" w:eastAsia="Calibri" w:hAnsi="Calibri"/>
          <w:color w:val="1A1A1A"/>
          <w:sz w:val="21"/>
          <w:szCs w:val="21"/>
        </w:rPr>
        <w:t xml:space="preserve">Acquire a Redis distributed lock where ordering or single-writer coordination is required for a given resource/chain segment.</w:t>
      </w:r>
    </w:p>
    <w:p>
      <w:pPr>
        <w:pStyle w:val="ListParagraph"/>
        <w:numPr>
          <w:ilvl w:val="0"/>
          <w:numId w:val="2"/>
        </w:numPr>
        <w:spacing w:after="60" w:line="264"/>
      </w:pPr>
      <w:r>
        <w:rPr>
          <w:rFonts w:ascii="Calibri" w:cs="Calibri" w:eastAsia="Calibri" w:hAnsi="Calibri"/>
          <w:color w:val="1A1A1A"/>
          <w:sz w:val="21"/>
          <w:szCs w:val="21"/>
        </w:rPr>
        <w:t xml:space="preserve">Compute the SHA-256 event hash and previousHash linkage (see Section 8).</w:t>
      </w:r>
    </w:p>
    <w:p>
      <w:pPr>
        <w:pStyle w:val="ListParagraph"/>
        <w:numPr>
          <w:ilvl w:val="0"/>
          <w:numId w:val="2"/>
        </w:numPr>
        <w:spacing w:after="60" w:line="264"/>
      </w:pPr>
      <w:r>
        <w:rPr>
          <w:rFonts w:ascii="Calibri" w:cs="Calibri" w:eastAsia="Calibri" w:hAnsi="Calibri"/>
          <w:color w:val="1A1A1A"/>
          <w:sz w:val="21"/>
          <w:szCs w:val="21"/>
        </w:rPr>
        <w:t xml:space="preserve">Persist the finalized, hash-chained document to MongoDB.</w:t>
      </w:r>
    </w:p>
    <w:p>
      <w:pPr>
        <w:pStyle w:val="ListParagraph"/>
        <w:numPr>
          <w:ilvl w:val="0"/>
          <w:numId w:val="2"/>
        </w:numPr>
        <w:spacing w:after="60" w:line="264"/>
      </w:pPr>
      <w:r>
        <w:rPr>
          <w:rFonts w:ascii="Calibri" w:cs="Calibri" w:eastAsia="Calibri" w:hAnsi="Calibri"/>
          <w:color w:val="1A1A1A"/>
          <w:sz w:val="21"/>
          <w:szCs w:val="21"/>
        </w:rPr>
        <w:t xml:space="preserve">Publish a notification to SNS when validation or integrity anomalies are detected during processing.</w:t>
      </w:r>
    </w:p>
    <w:p>
      <w:pPr>
        <w:pStyle w:val="ListParagraph"/>
        <w:numPr>
          <w:ilvl w:val="0"/>
          <w:numId w:val="2"/>
        </w:numPr>
        <w:spacing w:after="60" w:line="264"/>
      </w:pPr>
      <w:r>
        <w:rPr>
          <w:rFonts w:ascii="Calibri" w:cs="Calibri" w:eastAsia="Calibri" w:hAnsi="Calibri"/>
          <w:color w:val="1A1A1A"/>
          <w:sz w:val="21"/>
          <w:szCs w:val="21"/>
        </w:rPr>
        <w:t xml:space="preserve">Emit processing metrics (received, processed, failed, duplicate) to CloudWatch.</w:t>
      </w:r>
    </w:p>
    <w:p>
      <w:pPr>
        <w:pStyle w:val="Heading2"/>
        <w:spacing w:after="140" w:before="320"/>
      </w:pPr>
      <w:r>
        <w:rPr>
          <w:rFonts w:ascii="Calibri" w:cs="Calibri" w:eastAsia="Calibri" w:hAnsi="Calibri"/>
          <w:b/>
          <w:bCs/>
          <w:color w:val="2E5395"/>
          <w:sz w:val="24"/>
          <w:szCs w:val="24"/>
        </w:rPr>
        <w:t xml:space="preserve">5.3  Redis — Coordination Layer</w:t>
      </w:r>
    </w:p>
    <w:p>
      <w:pPr>
        <w:spacing w:after="160" w:line="276"/>
      </w:pPr>
      <w:r>
        <w:rPr>
          <w:rFonts w:ascii="Calibri" w:cs="Calibri" w:eastAsia="Calibri" w:hAnsi="Calibri"/>
          <w:color w:val="1A1A1A"/>
          <w:sz w:val="21"/>
          <w:szCs w:val="21"/>
        </w:rPr>
        <w:t xml:space="preserve">Redis is explicitly not the audit database and holds no durable audit content. Its role is coordination among concurrently running Consumer instances.</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5.1 — Redis Distributed Locking</w:t>
            </w:r>
          </w:p>
          <w:p>
            <w:pPr>
              <w:spacing w:after="0"/>
            </w:pPr>
            <w:r>
              <w:rPr>
                <w:rFonts w:ascii="Consolas" w:cs="Consolas" w:eastAsia="Consolas" w:hAnsi="Consolas"/>
                <w:color w:val="0B2447"/>
                <w:sz w:val="17"/>
                <w:szCs w:val="17"/>
              </w:rPr>
              <w:t xml:space="preserve">  Consumer A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Consumer B ---+---&gt; Redis Distributed Lock</w:t>
            </w:r>
          </w:p>
          <w:p>
            <w:pPr>
              <w:spacing w:after="0"/>
            </w:pPr>
            <w:r>
              <w:rPr>
                <w:rFonts w:ascii="Consolas" w:cs="Consolas" w:eastAsia="Consolas" w:hAnsi="Consolas"/>
                <w:color w:val="0B2447"/>
                <w:sz w:val="17"/>
                <w:szCs w:val="17"/>
              </w:rPr>
              <w:t xml:space="preserve">                |            |</w:t>
            </w:r>
          </w:p>
          <w:p>
            <w:pPr>
              <w:spacing w:after="0"/>
            </w:pPr>
            <w:r>
              <w:rPr>
                <w:rFonts w:ascii="Consolas" w:cs="Consolas" w:eastAsia="Consolas" w:hAnsi="Consolas"/>
                <w:color w:val="0B2447"/>
                <w:sz w:val="17"/>
                <w:szCs w:val="17"/>
              </w:rPr>
              <w:t xml:space="preserve">  Consumer C ---+            v</w:t>
            </w:r>
          </w:p>
          <w:p>
            <w:pPr>
              <w:spacing w:after="0"/>
            </w:pPr>
            <w:r>
              <w:rPr>
                <w:rFonts w:ascii="Consolas" w:cs="Consolas" w:eastAsia="Consolas" w:hAnsi="Consolas"/>
                <w:color w:val="0B2447"/>
                <w:sz w:val="17"/>
                <w:szCs w:val="17"/>
              </w:rPr>
              <w:t xml:space="preserve">                     Guarantees single-writer</w:t>
            </w:r>
          </w:p>
          <w:p>
            <w:pPr>
              <w:spacing w:after="0"/>
            </w:pPr>
            <w:r>
              <w:rPr>
                <w:rFonts w:ascii="Consolas" w:cs="Consolas" w:eastAsia="Consolas" w:hAnsi="Consolas"/>
                <w:color w:val="0B2447"/>
                <w:sz w:val="17"/>
                <w:szCs w:val="17"/>
              </w:rPr>
              <w:t xml:space="preserve">                     semantics for a given</w:t>
            </w:r>
          </w:p>
          <w:p>
            <w:pPr>
              <w:spacing w:after="0"/>
            </w:pPr>
            <w:r>
              <w:rPr>
                <w:rFonts w:ascii="Consolas" w:cs="Consolas" w:eastAsia="Consolas" w:hAnsi="Consolas"/>
                <w:color w:val="0B2447"/>
                <w:sz w:val="17"/>
                <w:szCs w:val="17"/>
              </w:rPr>
              <w:t xml:space="preserve">                     resource / chain segment</w:t>
            </w:r>
          </w:p>
        </w:tc>
      </w:tr>
    </w:tbl>
    <w:p>
      <w:pPr>
        <w:spacing w:after="160" w:line="276"/>
      </w:pPr>
      <w:r>
        <w:rPr>
          <w:rFonts w:ascii="Calibri" w:cs="Calibri" w:eastAsia="Calibri" w:hAnsi="Calibri"/>
          <w:color w:val="1A1A1A"/>
          <w:sz w:val="21"/>
          <w:szCs w:val="21"/>
        </w:rPr>
        <w:t xml:space="preserve">This prevents concurrent consumer instances from processing the same event or resource simultaneously in situations where ordering or mutual exclusion is required. Beyond locking, Redis also supports:</w:t>
      </w:r>
    </w:p>
    <w:p>
      <w:pPr>
        <w:pStyle w:val="ListParagraph"/>
        <w:numPr>
          <w:ilvl w:val="0"/>
          <w:numId w:val="2"/>
        </w:numPr>
        <w:spacing w:after="60" w:line="264"/>
      </w:pPr>
      <w:r>
        <w:rPr>
          <w:rFonts w:ascii="Calibri" w:cs="Calibri" w:eastAsia="Calibri" w:hAnsi="Calibri"/>
          <w:color w:val="1A1A1A"/>
          <w:sz w:val="21"/>
          <w:szCs w:val="21"/>
        </w:rPr>
        <w:t xml:space="preserve">Idempotency keys — short-lived markers used to detect already-processed event IDs cheaply, ahead of the authoritative MongoDB check.</w:t>
      </w:r>
    </w:p>
    <w:p>
      <w:pPr>
        <w:pStyle w:val="ListParagraph"/>
        <w:numPr>
          <w:ilvl w:val="0"/>
          <w:numId w:val="2"/>
        </w:numPr>
        <w:spacing w:after="60" w:line="264"/>
      </w:pPr>
      <w:r>
        <w:rPr>
          <w:rFonts w:ascii="Calibri" w:cs="Calibri" w:eastAsia="Calibri" w:hAnsi="Calibri"/>
          <w:color w:val="1A1A1A"/>
          <w:sz w:val="21"/>
          <w:szCs w:val="21"/>
        </w:rPr>
        <w:t xml:space="preserve">Short-lived locks — scoped to the minimum critical section (e.g., hash-chain append for a partition).</w:t>
      </w:r>
    </w:p>
    <w:p>
      <w:pPr>
        <w:pStyle w:val="ListParagraph"/>
        <w:numPr>
          <w:ilvl w:val="0"/>
          <w:numId w:val="2"/>
        </w:numPr>
        <w:spacing w:after="60" w:line="264"/>
      </w:pPr>
      <w:r>
        <w:rPr>
          <w:rFonts w:ascii="Calibri" w:cs="Calibri" w:eastAsia="Calibri" w:hAnsi="Calibri"/>
          <w:color w:val="1A1A1A"/>
          <w:sz w:val="21"/>
          <w:szCs w:val="21"/>
        </w:rPr>
        <w:t xml:space="preserve">Processing state — transient in-flight status for observability and troubleshooting.</w:t>
      </w:r>
    </w:p>
    <w:p>
      <w:pPr>
        <w:pStyle w:val="ListParagraph"/>
        <w:numPr>
          <w:ilvl w:val="0"/>
          <w:numId w:val="2"/>
        </w:numPr>
        <w:spacing w:after="60" w:line="264"/>
      </w:pPr>
      <w:r>
        <w:rPr>
          <w:rFonts w:ascii="Calibri" w:cs="Calibri" w:eastAsia="Calibri" w:hAnsi="Calibri"/>
          <w:color w:val="1A1A1A"/>
          <w:sz w:val="21"/>
          <w:szCs w:val="21"/>
        </w:rPr>
        <w:t xml:space="preserve">Rate limiting — reserved capability for future abuse/backpressure protection at the API tier.</w:t>
      </w:r>
    </w:p>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Redis is deployed as a highly available cluster (primary/replica with automatic failover). Loss of Redis availability degrades coordination guarantees but must not cause data loss — see Section 16 for the corresponding failure-mode analysis.</w:t>
            </w:r>
          </w:p>
        </w:tc>
      </w:tr>
    </w:tbl>
    <w:p>
      <w:pPr>
        <w:pStyle w:val="Heading2"/>
        <w:spacing w:after="140" w:before="320"/>
      </w:pPr>
      <w:r>
        <w:rPr>
          <w:rFonts w:ascii="Calibri" w:cs="Calibri" w:eastAsia="Calibri" w:hAnsi="Calibri"/>
          <w:b/>
          <w:bCs/>
          <w:color w:val="2E5395"/>
          <w:sz w:val="24"/>
          <w:szCs w:val="24"/>
        </w:rPr>
        <w:t xml:space="preserve">5.4  MongoDB — Operational Audit Store</w:t>
      </w:r>
    </w:p>
    <w:p>
      <w:pPr>
        <w:spacing w:after="160" w:line="276"/>
      </w:pPr>
      <w:r>
        <w:rPr>
          <w:rFonts w:ascii="Calibri" w:cs="Calibri" w:eastAsia="Calibri" w:hAnsi="Calibri"/>
          <w:color w:val="1A1A1A"/>
          <w:sz w:val="21"/>
          <w:szCs w:val="21"/>
        </w:rPr>
        <w:t xml:space="preserve">MongoDB is the system of record for hot, actively queried audit data and the primary target for investigator search.</w:t>
      </w:r>
    </w:p>
    <w:p>
      <w:pPr>
        <w:pStyle w:val="Heading3"/>
        <w:spacing w:after="100" w:before="220"/>
      </w:pPr>
      <w:r>
        <w:rPr>
          <w:rFonts w:ascii="Calibri" w:cs="Calibri" w:eastAsia="Calibri" w:hAnsi="Calibri"/>
          <w:b/>
          <w:bCs/>
          <w:color w:val="1A1A1A"/>
          <w:sz w:val="22"/>
          <w:szCs w:val="22"/>
        </w:rPr>
        <w:t xml:space="preserve">Representative Document Shape</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5.2 — Audit Event Document (illustrative)</w:t>
            </w:r>
          </w:p>
          <w:p>
            <w:pPr>
              <w:spacing w:after="0"/>
            </w:pPr>
            <w:r>
              <w:rPr>
                <w:rFonts w:ascii="Consolas" w:cs="Consolas" w:eastAsia="Consolas" w:hAnsi="Consolas"/>
                <w:color w:val="0B2447"/>
                <w:sz w:val="17"/>
                <w:szCs w:val="17"/>
              </w:rPr>
              <w:t xml:space="preserve">{</w:t>
            </w:r>
          </w:p>
          <w:p>
            <w:pPr>
              <w:spacing w:after="0"/>
            </w:pPr>
            <w:r>
              <w:rPr>
                <w:rFonts w:ascii="Consolas" w:cs="Consolas" w:eastAsia="Consolas" w:hAnsi="Consolas"/>
                <w:color w:val="0B2447"/>
                <w:sz w:val="17"/>
                <w:szCs w:val="17"/>
              </w:rPr>
              <w:t xml:space="preserve">  "id": "evt-123",</w:t>
            </w:r>
          </w:p>
          <w:p>
            <w:pPr>
              <w:spacing w:after="0"/>
            </w:pPr>
            <w:r>
              <w:rPr>
                <w:rFonts w:ascii="Consolas" w:cs="Consolas" w:eastAsia="Consolas" w:hAnsi="Consolas"/>
                <w:color w:val="0B2447"/>
                <w:sz w:val="17"/>
                <w:szCs w:val="17"/>
              </w:rPr>
              <w:t xml:space="preserve">  "actorId": "user-42",</w:t>
            </w:r>
          </w:p>
          <w:p>
            <w:pPr>
              <w:spacing w:after="0"/>
            </w:pPr>
            <w:r>
              <w:rPr>
                <w:rFonts w:ascii="Consolas" w:cs="Consolas" w:eastAsia="Consolas" w:hAnsi="Consolas"/>
                <w:color w:val="0B2447"/>
                <w:sz w:val="17"/>
                <w:szCs w:val="17"/>
              </w:rPr>
              <w:t xml:space="preserve">  "actorRole": "TRADER",</w:t>
            </w:r>
          </w:p>
          <w:p>
            <w:pPr>
              <w:spacing w:after="0"/>
            </w:pPr>
            <w:r>
              <w:rPr>
                <w:rFonts w:ascii="Consolas" w:cs="Consolas" w:eastAsia="Consolas" w:hAnsi="Consolas"/>
                <w:color w:val="0B2447"/>
                <w:sz w:val="17"/>
                <w:szCs w:val="17"/>
              </w:rPr>
              <w:t xml:space="preserve">  "action": "UPDATE",</w:t>
            </w:r>
          </w:p>
          <w:p>
            <w:pPr>
              <w:spacing w:after="0"/>
            </w:pPr>
            <w:r>
              <w:rPr>
                <w:rFonts w:ascii="Consolas" w:cs="Consolas" w:eastAsia="Consolas" w:hAnsi="Consolas"/>
                <w:color w:val="0B2447"/>
                <w:sz w:val="17"/>
                <w:szCs w:val="17"/>
              </w:rPr>
              <w:t xml:space="preserve">  "resourceType": "TRADE",</w:t>
            </w:r>
          </w:p>
          <w:p>
            <w:pPr>
              <w:spacing w:after="0"/>
            </w:pPr>
            <w:r>
              <w:rPr>
                <w:rFonts w:ascii="Consolas" w:cs="Consolas" w:eastAsia="Consolas" w:hAnsi="Consolas"/>
                <w:color w:val="0B2447"/>
                <w:sz w:val="17"/>
                <w:szCs w:val="17"/>
              </w:rPr>
              <w:t xml:space="preserve">  "resourceId": "TRD-12345",</w:t>
            </w:r>
          </w:p>
          <w:p>
            <w:pPr>
              <w:spacing w:after="0"/>
            </w:pPr>
            <w:r>
              <w:rPr>
                <w:rFonts w:ascii="Consolas" w:cs="Consolas" w:eastAsia="Consolas" w:hAnsi="Consolas"/>
                <w:color w:val="0B2447"/>
                <w:sz w:val="17"/>
                <w:szCs w:val="17"/>
              </w:rPr>
              <w:t xml:space="preserve">  "reason": "Correction",</w:t>
            </w:r>
          </w:p>
          <w:p>
            <w:pPr>
              <w:spacing w:after="0"/>
            </w:pPr>
            <w:r>
              <w:rPr>
                <w:rFonts w:ascii="Consolas" w:cs="Consolas" w:eastAsia="Consolas" w:hAnsi="Consolas"/>
                <w:color w:val="0B2447"/>
                <w:sz w:val="17"/>
                <w:szCs w:val="17"/>
              </w:rPr>
              <w:t xml:space="preserve">  "sourceIp": "10.20.30.40",</w:t>
            </w:r>
          </w:p>
          <w:p>
            <w:pPr>
              <w:spacing w:after="0"/>
            </w:pPr>
            <w:r>
              <w:rPr>
                <w:rFonts w:ascii="Consolas" w:cs="Consolas" w:eastAsia="Consolas" w:hAnsi="Consolas"/>
                <w:color w:val="0B2447"/>
                <w:sz w:val="17"/>
                <w:szCs w:val="17"/>
              </w:rPr>
              <w:t xml:space="preserve">  "userAgent": "internal-trading-ui/3.2",</w:t>
            </w:r>
          </w:p>
          <w:p>
            <w:pPr>
              <w:spacing w:after="0"/>
            </w:pPr>
            <w:r>
              <w:rPr>
                <w:rFonts w:ascii="Consolas" w:cs="Consolas" w:eastAsia="Consolas" w:hAnsi="Consolas"/>
                <w:color w:val="0B2447"/>
                <w:sz w:val="17"/>
                <w:szCs w:val="17"/>
              </w:rPr>
              <w:t xml:space="preserve">  "before": { "status": "OPEN" },</w:t>
            </w:r>
          </w:p>
          <w:p>
            <w:pPr>
              <w:spacing w:after="0"/>
            </w:pPr>
            <w:r>
              <w:rPr>
                <w:rFonts w:ascii="Consolas" w:cs="Consolas" w:eastAsia="Consolas" w:hAnsi="Consolas"/>
                <w:color w:val="0B2447"/>
                <w:sz w:val="17"/>
                <w:szCs w:val="17"/>
              </w:rPr>
              <w:t xml:space="preserve">  "after":  { "status": "CORRECTED" },</w:t>
            </w:r>
          </w:p>
          <w:p>
            <w:pPr>
              <w:spacing w:after="0"/>
            </w:pPr>
            <w:r>
              <w:rPr>
                <w:rFonts w:ascii="Consolas" w:cs="Consolas" w:eastAsia="Consolas" w:hAnsi="Consolas"/>
                <w:color w:val="0B2447"/>
                <w:sz w:val="17"/>
                <w:szCs w:val="17"/>
              </w:rPr>
              <w:t xml:space="preserve">  "timestamp": "2026-08-17T10:30:00Z",</w:t>
            </w:r>
          </w:p>
          <w:p>
            <w:pPr>
              <w:spacing w:after="0"/>
            </w:pPr>
            <w:r>
              <w:rPr>
                <w:rFonts w:ascii="Consolas" w:cs="Consolas" w:eastAsia="Consolas" w:hAnsi="Consolas"/>
                <w:color w:val="0B2447"/>
                <w:sz w:val="17"/>
                <w:szCs w:val="17"/>
              </w:rPr>
              <w:t xml:space="preserve">  "correlationId": "corr-98a2f1",</w:t>
            </w:r>
          </w:p>
          <w:p>
            <w:pPr>
              <w:spacing w:after="0"/>
            </w:pPr>
            <w:r>
              <w:rPr>
                <w:rFonts w:ascii="Consolas" w:cs="Consolas" w:eastAsia="Consolas" w:hAnsi="Consolas"/>
                <w:color w:val="0B2447"/>
                <w:sz w:val="17"/>
                <w:szCs w:val="17"/>
              </w:rPr>
              <w:t xml:space="preserve">  "previousHash": "abc123...",</w:t>
            </w:r>
          </w:p>
          <w:p>
            <w:pPr>
              <w:spacing w:after="0"/>
            </w:pPr>
            <w:r>
              <w:rPr>
                <w:rFonts w:ascii="Consolas" w:cs="Consolas" w:eastAsia="Consolas" w:hAnsi="Consolas"/>
                <w:color w:val="0B2447"/>
                <w:sz w:val="17"/>
                <w:szCs w:val="17"/>
              </w:rPr>
              <w:t xml:space="preserve">  "eventHash": "def456...",</w:t>
            </w:r>
          </w:p>
          <w:p>
            <w:pPr>
              <w:spacing w:after="0"/>
            </w:pPr>
            <w:r>
              <w:rPr>
                <w:rFonts w:ascii="Consolas" w:cs="Consolas" w:eastAsia="Consolas" w:hAnsi="Consolas"/>
                <w:color w:val="0B2447"/>
                <w:sz w:val="17"/>
                <w:szCs w:val="17"/>
              </w:rPr>
              <w:t xml:space="preserve">  "schemaVersion": 1</w:t>
            </w:r>
          </w:p>
          <w:p>
            <w:pPr>
              <w:spacing w:after="0"/>
            </w:pPr>
            <w:r>
              <w:rPr>
                <w:rFonts w:ascii="Consolas" w:cs="Consolas" w:eastAsia="Consolas" w:hAnsi="Consolas"/>
                <w:color w:val="0B2447"/>
                <w:sz w:val="17"/>
                <w:szCs w:val="17"/>
              </w:rPr>
              <w:t xml:space="preserve">}</w:t>
            </w:r>
          </w:p>
        </w:tc>
      </w:tr>
    </w:tbl>
    <w:p>
      <w:pPr>
        <w:pStyle w:val="Heading3"/>
        <w:spacing w:after="100" w:before="220"/>
      </w:pPr>
      <w:r>
        <w:rPr>
          <w:rFonts w:ascii="Calibri" w:cs="Calibri" w:eastAsia="Calibri" w:hAnsi="Calibri"/>
          <w:b/>
          <w:bCs/>
          <w:color w:val="1A1A1A"/>
          <w:sz w:val="22"/>
          <w:szCs w:val="22"/>
        </w:rPr>
        <w:t xml:space="preserve">Indexing Strategy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4300"/>
        <w:gridCol w:w="5400"/>
      </w:tblGrid>
      <w:tr>
        <w:trPr>
          <w:tblHeader/>
        </w:trPr>
        <w:tc>
          <w:tcPr>
            <w:tcW w:type="dxa" w:w="43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Index</w:t>
            </w:r>
          </w:p>
        </w:tc>
        <w:tc>
          <w:tcPr>
            <w:tcW w:type="dxa" w:w="54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Investigator Question Answered</w:t>
            </w:r>
          </w:p>
        </w:tc>
      </w:tr>
      <w:tr>
        <w:tc>
          <w:tcPr>
            <w:tcW w:type="dxa" w:w="4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 actorId: 1, timestamp: -1 }</w:t>
            </w:r>
          </w:p>
        </w:tc>
        <w:tc>
          <w:tcPr>
            <w:tcW w:type="dxa" w:w="5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What did user X do, most recent first?</w:t>
            </w:r>
          </w:p>
        </w:tc>
      </w:tr>
      <w:tr>
        <w:tc>
          <w:tcPr>
            <w:tcW w:type="dxa" w:w="4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 resourceId: 1, timestamp: -1 }</w:t>
            </w:r>
          </w:p>
        </w:tc>
        <w:tc>
          <w:tcPr>
            <w:tcW w:type="dxa" w:w="5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What happened to resource Y over time?</w:t>
            </w:r>
          </w:p>
        </w:tc>
      </w:tr>
      <w:tr>
        <w:tc>
          <w:tcPr>
            <w:tcW w:type="dxa" w:w="4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 action: 1, timestamp: -1 }</w:t>
            </w:r>
          </w:p>
        </w:tc>
        <w:tc>
          <w:tcPr>
            <w:tcW w:type="dxa" w:w="5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What UPDATE (or DELETE, APPROVE, etc.) operations occurred?</w:t>
            </w:r>
          </w:p>
        </w:tc>
      </w:tr>
      <w:tr>
        <w:tc>
          <w:tcPr>
            <w:tcW w:type="dxa" w:w="4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 timestamp: -1 }</w:t>
            </w:r>
          </w:p>
        </w:tc>
        <w:tc>
          <w:tcPr>
            <w:tcW w:type="dxa" w:w="5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What happened in a given time window, e.g. around an incident?</w:t>
            </w:r>
          </w:p>
        </w:tc>
      </w:tr>
    </w:tbl>
    <w:p>
      <w:pPr>
        <w:spacing w:after="160" w:line="276"/>
      </w:pPr>
      <w:r>
        <w:rPr>
          <w:rFonts w:ascii="Calibri" w:cs="Calibri" w:eastAsia="Calibri" w:hAnsi="Calibri"/>
          <w:color w:val="1A1A1A"/>
          <w:sz w:val="21"/>
          <w:szCs w:val="21"/>
        </w:rPr>
        <w:t xml:space="preserve">Together with the base schema, these indexes let an investigator efficiently answer the canonical audit questions: what did user X do; what happened to resource Y; what happened between two timestamps; what UPDATE operations occurred; and what happened immediately before/after a known incident.</w:t>
      </w:r>
    </w:p>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Collections are configured with no application-level update or delete permissions; only the Consumer's service identity has insert privilege, and even that identity has no update/delete grant. This is enforced at the database role level, not merely in application code — see Section 12.</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6.  Asynchronous Ingestion</w:t>
      </w:r>
    </w:p>
    <w:p>
      <w:pPr>
        <w:spacing w:after="160" w:line="276"/>
      </w:pPr>
      <w:r>
        <w:rPr>
          <w:rFonts w:ascii="Calibri" w:cs="Calibri" w:eastAsia="Calibri" w:hAnsi="Calibri"/>
          <w:color w:val="1A1A1A"/>
          <w:sz w:val="21"/>
          <w:szCs w:val="21"/>
        </w:rPr>
        <w:t xml:space="preserve">The central enterprise design decision in this platform is that audit logging must never sit on the critical path of the business transaction. A trading order, a payment, or an admin action must complete on its own merits; audit capture happens alongside it, not inside it.</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6.1 — Producer/Consumer Decoupling</w:t>
            </w:r>
          </w:p>
          <w:p>
            <w:pPr>
              <w:spacing w:after="0"/>
            </w:pPr>
            <w:r>
              <w:rPr>
                <w:rFonts w:ascii="Consolas" w:cs="Consolas" w:eastAsia="Consolas" w:hAnsi="Consolas"/>
                <w:color w:val="0B2447"/>
                <w:sz w:val="17"/>
                <w:szCs w:val="17"/>
              </w:rPr>
              <w:t xml:space="preserve">  Application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POST audit event</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Audit API  --publish--&gt;  SQS  --async--&gt;  Audit Consumer  --&gt;  MongoDB</w:t>
            </w:r>
          </w:p>
        </w:tc>
      </w:tr>
    </w:tbl>
    <w:p>
      <w:pPr>
        <w:pStyle w:val="Heading3"/>
        <w:spacing w:after="100" w:before="220"/>
      </w:pPr>
      <w:r>
        <w:rPr>
          <w:rFonts w:ascii="Calibri" w:cs="Calibri" w:eastAsia="Calibri" w:hAnsi="Calibri"/>
          <w:b/>
          <w:bCs/>
          <w:color w:val="1A1A1A"/>
          <w:sz w:val="22"/>
          <w:szCs w:val="22"/>
        </w:rPr>
        <w:t xml:space="preserve">Why SQS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700"/>
      </w:tblGrid>
      <w:tr>
        <w:trPr>
          <w:tblHeader/>
        </w:trPr>
        <w:tc>
          <w:tcPr>
            <w:tcW w:type="dxa" w:w="30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Property</w:t>
            </w:r>
          </w:p>
        </w:tc>
        <w:tc>
          <w:tcPr>
            <w:tcW w:type="dxa" w:w="67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Benefit to the Platform</w:t>
            </w:r>
          </w:p>
        </w:tc>
      </w:tr>
      <w:tr>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Durable queue</w:t>
            </w:r>
          </w:p>
        </w:tc>
        <w:tc>
          <w:tcPr>
            <w:tcW w:type="dxa" w:w="6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Events are not lost if downstream storage is briefly unavailable.</w:t>
            </w:r>
          </w:p>
        </w:tc>
      </w:tr>
      <w:tr>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Retry support</w:t>
            </w:r>
          </w:p>
        </w:tc>
        <w:tc>
          <w:tcPr>
            <w:tcW w:type="dxa" w:w="6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Failed consumer attempts are automatically retried without producer involvement.</w:t>
            </w:r>
          </w:p>
        </w:tc>
      </w:tr>
      <w:tr>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Visibility timeout</w:t>
            </w:r>
          </w:p>
        </w:tc>
        <w:tc>
          <w:tcPr>
            <w:tcW w:type="dxa" w:w="6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 message being processed is hidden from other consumers, preventing duplicate concurrent processing.</w:t>
            </w:r>
          </w:p>
        </w:tc>
      </w:tr>
      <w:tr>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Horizontal scaling</w:t>
            </w:r>
          </w:p>
        </w:tc>
        <w:tc>
          <w:tcPr>
            <w:tcW w:type="dxa" w:w="6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Consumer fleet scales independently of the API fleet, driven by queue depth.</w:t>
            </w:r>
          </w:p>
        </w:tc>
      </w:tr>
      <w:tr>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Producer/consumer decoupling</w:t>
            </w:r>
          </w:p>
        </w:tc>
        <w:tc>
          <w:tcPr>
            <w:tcW w:type="dxa" w:w="6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The business application's latency is decoupled entirely from audit-store latency.</w:t>
            </w:r>
          </w:p>
        </w:tc>
      </w:tr>
      <w:tr>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Traffic-spike absorption</w:t>
            </w:r>
          </w:p>
        </w:tc>
        <w:tc>
          <w:tcPr>
            <w:tcW w:type="dxa" w:w="6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Bursts (e.g., market open, month-end batch jobs) are buffered rather than dropped or throttled at the caller.</w:t>
            </w:r>
          </w:p>
        </w:tc>
      </w:tr>
    </w:tbl>
    <w:p>
      <w:pPr>
        <w:pStyle w:val="Heading3"/>
        <w:spacing w:after="100" w:before="220"/>
      </w:pPr>
      <w:r>
        <w:rPr>
          <w:rFonts w:ascii="Calibri" w:cs="Calibri" w:eastAsia="Calibri" w:hAnsi="Calibri"/>
          <w:b/>
          <w:bCs/>
          <w:color w:val="1A1A1A"/>
          <w:sz w:val="22"/>
          <w:szCs w:val="22"/>
        </w:rPr>
        <w:t xml:space="preserve">Behavior Under Downstream Failure</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6.2 — Graceful Degradation on Storage Outage</w:t>
            </w:r>
          </w:p>
          <w:p>
            <w:pPr>
              <w:spacing w:after="0"/>
            </w:pPr>
            <w:r>
              <w:rPr>
                <w:rFonts w:ascii="Consolas" w:cs="Consolas" w:eastAsia="Consolas" w:hAnsi="Consolas"/>
                <w:color w:val="0B2447"/>
                <w:sz w:val="17"/>
                <w:szCs w:val="17"/>
              </w:rPr>
              <w:t xml:space="preserve">  Application --&gt; SQS --&gt; Consumer --&gt; MongoDB (unavailable)</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SQS retains the message</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Retry (with backoff)</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MongoDB restored</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Event persisted -- no data loss, bounded delay</w:t>
            </w:r>
          </w:p>
        </w:tc>
      </w:tr>
    </w:tbl>
    <w:p>
      <w:pPr>
        <w:spacing w:after="160" w:line="276"/>
      </w:pPr>
      <w:r>
        <w:rPr>
          <w:rFonts w:ascii="Calibri" w:cs="Calibri" w:eastAsia="Calibri" w:hAnsi="Calibri"/>
          <w:color w:val="1A1A1A"/>
          <w:sz w:val="21"/>
          <w:szCs w:val="21"/>
        </w:rPr>
        <w:t xml:space="preserve">Because SQS retains unacknowledged messages until successfully processed or moved to a dead-letter queue, a transient MongoDB outage produces a bounded processing delay rather than data loss. This is a key control supporting the platform's immutability and completeness guarantees under partial infrastructure failure.</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7.  Hash Chain &amp; Data Integrity</w:t>
      </w:r>
    </w:p>
    <w:p>
      <w:pPr>
        <w:spacing w:after="160" w:line="276"/>
      </w:pPr>
      <w:r>
        <w:rPr>
          <w:rFonts w:ascii="Calibri" w:cs="Calibri" w:eastAsia="Calibri" w:hAnsi="Calibri"/>
          <w:color w:val="1A1A1A"/>
          <w:sz w:val="21"/>
          <w:szCs w:val="21"/>
        </w:rPr>
        <w:t xml:space="preserve">Tamper-evidence is arguably the most compliance-critical property of the platform: an audit trail that can be silently altered has limited evidentiary value. The design achieves tamper detection — deliberately not encryption, which serves a different purpose — using a cryptographic hash chain, conceptually similar to the structure used in append-only ledgers.</w:t>
      </w:r>
    </w:p>
    <w:p>
      <w:pPr>
        <w:pStyle w:val="Heading3"/>
        <w:spacing w:after="100" w:before="220"/>
      </w:pPr>
      <w:r>
        <w:rPr>
          <w:rFonts w:ascii="Calibri" w:cs="Calibri" w:eastAsia="Calibri" w:hAnsi="Calibri"/>
          <w:b/>
          <w:bCs/>
          <w:color w:val="1A1A1A"/>
          <w:sz w:val="22"/>
          <w:szCs w:val="22"/>
        </w:rPr>
        <w:t xml:space="preserve">Chain Construction</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7.1 — Sequential Hash Chain Construction</w:t>
            </w:r>
          </w:p>
          <w:p>
            <w:pPr>
              <w:spacing w:after="0"/>
            </w:pPr>
            <w:r>
              <w:rPr>
                <w:rFonts w:ascii="Consolas" w:cs="Consolas" w:eastAsia="Consolas" w:hAnsi="Consolas"/>
                <w:color w:val="0B2447"/>
                <w:sz w:val="17"/>
                <w:szCs w:val="17"/>
              </w:rPr>
              <w:t xml:space="preserve">  Event 1:  hash1 = SHA256(event1 data)</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Event 2:  previousHash = hash1</w:t>
            </w:r>
          </w:p>
          <w:p>
            <w:pPr>
              <w:spacing w:after="0"/>
            </w:pPr>
            <w:r>
              <w:rPr>
                <w:rFonts w:ascii="Consolas" w:cs="Consolas" w:eastAsia="Consolas" w:hAnsi="Consolas"/>
                <w:color w:val="0B2447"/>
                <w:sz w:val="17"/>
                <w:szCs w:val="17"/>
              </w:rPr>
              <w:t xml:space="preserve">            hash2 = SHA256(event2 data + previousHash)</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Event 3:  previousHash = hash2</w:t>
            </w:r>
          </w:p>
          <w:p>
            <w:pPr>
              <w:spacing w:after="0"/>
            </w:pPr>
            <w:r>
              <w:rPr>
                <w:rFonts w:ascii="Consolas" w:cs="Consolas" w:eastAsia="Consolas" w:hAnsi="Consolas"/>
                <w:color w:val="0B2447"/>
                <w:sz w:val="17"/>
                <w:szCs w:val="17"/>
              </w:rPr>
              <w:t xml:space="preserve">            hash3 = SHA256(event3 data + previousHash)</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E1 -----&gt; E2 -----&gt; E3 -----&gt; E4</w:t>
            </w:r>
          </w:p>
          <w:p>
            <w:pPr>
              <w:spacing w:after="0"/>
            </w:pPr>
            <w:r>
              <w:rPr>
                <w:rFonts w:ascii="Consolas" w:cs="Consolas" w:eastAsia="Consolas" w:hAnsi="Consolas"/>
                <w:color w:val="0B2447"/>
                <w:sz w:val="17"/>
                <w:szCs w:val="17"/>
              </w:rPr>
              <w:t xml:space="preserve">  hash1     hash2     hash3     hash4</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previousHash (link back to prior event)</w:t>
            </w:r>
          </w:p>
        </w:tc>
      </w:tr>
    </w:tbl>
    <w:p>
      <w:pPr>
        <w:spacing w:after="160" w:line="276"/>
      </w:pPr>
      <w:r>
        <w:rPr>
          <w:rFonts w:ascii="Calibri" w:cs="Calibri" w:eastAsia="Calibri" w:hAnsi="Calibri"/>
          <w:color w:val="1A1A1A"/>
          <w:sz w:val="21"/>
          <w:szCs w:val="21"/>
        </w:rPr>
        <w:t xml:space="preserve">Every persisted event carries two fields: eventHash, the SHA-256 digest of that event's canonical content, and previousHash, the digest of the event immediately before it in the same chain. This creates a verifiable linkage: recomputing hash i and comparing it against the stored value, and comparing previousHash(i+1) against hash(i), confirms that no event has been altered, inserted, or removed without detection.</w:t>
      </w:r>
    </w:p>
    <w:p>
      <w:pPr>
        <w:pStyle w:val="Heading3"/>
        <w:spacing w:after="100" w:before="220"/>
      </w:pPr>
      <w:r>
        <w:rPr>
          <w:rFonts w:ascii="Calibri" w:cs="Calibri" w:eastAsia="Calibri" w:hAnsi="Calibri"/>
          <w:b/>
          <w:bCs/>
          <w:color w:val="1A1A1A"/>
          <w:sz w:val="22"/>
          <w:szCs w:val="22"/>
        </w:rPr>
        <w:t xml:space="preserve">Detecting Tampering</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7.2 — Tamper Detection</w:t>
            </w:r>
          </w:p>
          <w:p>
            <w:pPr>
              <w:spacing w:after="0"/>
            </w:pPr>
            <w:r>
              <w:rPr>
                <w:rFonts w:ascii="Consolas" w:cs="Consolas" w:eastAsia="Consolas" w:hAnsi="Consolas"/>
                <w:color w:val="0B2447"/>
                <w:sz w:val="17"/>
                <w:szCs w:val="17"/>
              </w:rPr>
              <w:t xml:space="preserve">  If E2 is modified after persistence:</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E1 -----&gt; E2 [X] -----&gt; E3 -----&gt; E4</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Verification detects:</w:t>
            </w:r>
          </w:p>
          <w:p>
            <w:pPr>
              <w:spacing w:after="0"/>
            </w:pPr>
            <w:r>
              <w:rPr>
                <w:rFonts w:ascii="Consolas" w:cs="Consolas" w:eastAsia="Consolas" w:hAnsi="Consolas"/>
                <w:color w:val="0B2447"/>
                <w:sz w:val="17"/>
                <w:szCs w:val="17"/>
              </w:rPr>
              <w:t xml:space="preserve">    HASH_MISMATCH</w:t>
            </w:r>
          </w:p>
          <w:p>
            <w:pPr>
              <w:spacing w:after="0"/>
            </w:pPr>
            <w:r>
              <w:rPr>
                <w:rFonts w:ascii="Consolas" w:cs="Consolas" w:eastAsia="Consolas" w:hAnsi="Consolas"/>
                <w:color w:val="0B2447"/>
                <w:sz w:val="17"/>
                <w:szCs w:val="17"/>
              </w:rPr>
              <w:t xml:space="preserve">    brokenAtPosition = 2</w:t>
            </w:r>
          </w:p>
        </w:tc>
      </w:tr>
    </w:tbl>
    <w:p>
      <w:pPr>
        <w:spacing w:after="160" w:line="276"/>
      </w:pPr>
      <w:r>
        <w:rPr>
          <w:rFonts w:ascii="Calibri" w:cs="Calibri" w:eastAsia="Calibri" w:hAnsi="Calibri"/>
          <w:color w:val="1A1A1A"/>
          <w:sz w:val="21"/>
          <w:szCs w:val="21"/>
        </w:rPr>
        <w:t xml:space="preserve">Because the chain is sequential, a single altered event is detectable at exactly the point of alteration, and every subsequent event's chain linkage becomes invalid as well — giving investigators both the location and the blast radius of a suspected compromise.</w:t>
      </w:r>
    </w:p>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The hash chain provides tamper evidence, not tamper prevention or confidentiality. It must be paired with strict write-path access control (Section 5.4, Section 12) so that the chain itself cannot be silently regenerated by an attacker with database access. Chain checkpoints should periodically be externally anchored (e.g., a signed checkpoint hash exported to S3 Object Lock or a separate trust boundary) to protect against a scenario where an attacker with full database control rewrites the entire chain consistently.</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8.  Integrity Verification</w:t>
      </w:r>
    </w:p>
    <w:p>
      <w:pPr>
        <w:spacing w:after="160" w:line="276"/>
      </w:pPr>
      <w:r>
        <w:rPr>
          <w:rFonts w:ascii="Calibri" w:cs="Calibri" w:eastAsia="Calibri" w:hAnsi="Calibri"/>
          <w:color w:val="1A1A1A"/>
          <w:sz w:val="21"/>
          <w:szCs w:val="21"/>
        </w:rPr>
        <w:t xml:space="preserve">A dedicated verification capability is exposed via GET /api/v1/audit-events/verify, callable on demand by an AUDITOR and additionally run on a scheduled basis as a background integrity job.</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8.1 — Verification Process</w:t>
            </w:r>
          </w:p>
          <w:p>
            <w:pPr>
              <w:spacing w:after="0"/>
            </w:pPr>
            <w:r>
              <w:rPr>
                <w:rFonts w:ascii="Consolas" w:cs="Consolas" w:eastAsia="Consolas" w:hAnsi="Consolas"/>
                <w:color w:val="0B2447"/>
                <w:sz w:val="17"/>
                <w:szCs w:val="17"/>
              </w:rPr>
              <w:t xml:space="preserve">        Verify request</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Load audit chain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Recalculate event hash</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Compare against previousHash</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           v</w:t>
            </w:r>
          </w:p>
          <w:p>
            <w:pPr>
              <w:spacing w:after="0"/>
            </w:pPr>
            <w:r>
              <w:rPr>
                <w:rFonts w:ascii="Consolas" w:cs="Consolas" w:eastAsia="Consolas" w:hAnsi="Consolas"/>
                <w:color w:val="0B2447"/>
                <w:sz w:val="17"/>
                <w:szCs w:val="17"/>
              </w:rPr>
              <w:t xml:space="preserve">      VALID       INVALID</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Identify broken position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Security Alert (SNS)</w:t>
            </w:r>
          </w:p>
        </w:tc>
      </w:tr>
    </w:tbl>
    <w:p>
      <w:pPr>
        <w:pStyle w:val="Heading3"/>
        <w:spacing w:after="100" w:before="220"/>
      </w:pPr>
      <w:r>
        <w:rPr>
          <w:rFonts w:ascii="Calibri" w:cs="Calibri" w:eastAsia="Calibri" w:hAnsi="Calibri"/>
          <w:b/>
          <w:bCs/>
          <w:color w:val="1A1A1A"/>
          <w:sz w:val="22"/>
          <w:szCs w:val="22"/>
        </w:rPr>
        <w:t xml:space="preserve">Verification Response Contract (illustrative)</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0"/>
            </w:pPr>
            <w:r>
              <w:rPr>
                <w:rFonts w:ascii="Consolas" w:cs="Consolas" w:eastAsia="Consolas" w:hAnsi="Consolas"/>
                <w:color w:val="0B2447"/>
                <w:sz w:val="17"/>
                <w:szCs w:val="17"/>
              </w:rPr>
              <w:t xml:space="preserve">{</w:t>
            </w:r>
          </w:p>
          <w:p>
            <w:pPr>
              <w:spacing w:after="0"/>
            </w:pPr>
            <w:r>
              <w:rPr>
                <w:rFonts w:ascii="Consolas" w:cs="Consolas" w:eastAsia="Consolas" w:hAnsi="Consolas"/>
                <w:color w:val="0B2447"/>
                <w:sz w:val="17"/>
                <w:szCs w:val="17"/>
              </w:rPr>
              <w:t xml:space="preserve">  "valid": false,</w:t>
            </w:r>
          </w:p>
          <w:p>
            <w:pPr>
              <w:spacing w:after="0"/>
            </w:pPr>
            <w:r>
              <w:rPr>
                <w:rFonts w:ascii="Consolas" w:cs="Consolas" w:eastAsia="Consolas" w:hAnsi="Consolas"/>
                <w:color w:val="0B2447"/>
                <w:sz w:val="17"/>
                <w:szCs w:val="17"/>
              </w:rPr>
              <w:t xml:space="preserve">  "totalEvents": 1000,</w:t>
            </w:r>
          </w:p>
          <w:p>
            <w:pPr>
              <w:spacing w:after="0"/>
            </w:pPr>
            <w:r>
              <w:rPr>
                <w:rFonts w:ascii="Consolas" w:cs="Consolas" w:eastAsia="Consolas" w:hAnsi="Consolas"/>
                <w:color w:val="0B2447"/>
                <w:sz w:val="17"/>
                <w:szCs w:val="17"/>
              </w:rPr>
              <w:t xml:space="preserve">  "verifiedEvents": 742,</w:t>
            </w:r>
          </w:p>
          <w:p>
            <w:pPr>
              <w:spacing w:after="0"/>
            </w:pPr>
            <w:r>
              <w:rPr>
                <w:rFonts w:ascii="Consolas" w:cs="Consolas" w:eastAsia="Consolas" w:hAnsi="Consolas"/>
                <w:color w:val="0B2447"/>
                <w:sz w:val="17"/>
                <w:szCs w:val="17"/>
              </w:rPr>
              <w:t xml:space="preserve">  "brokenAtPosition": 743,</w:t>
            </w:r>
          </w:p>
          <w:p>
            <w:pPr>
              <w:spacing w:after="0"/>
            </w:pPr>
            <w:r>
              <w:rPr>
                <w:rFonts w:ascii="Consolas" w:cs="Consolas" w:eastAsia="Consolas" w:hAnsi="Consolas"/>
                <w:color w:val="0B2447"/>
                <w:sz w:val="17"/>
                <w:szCs w:val="17"/>
              </w:rPr>
              <w:t xml:space="preserve">  "failureType": "HASH_MISMATCH"</w:t>
            </w:r>
          </w:p>
          <w:p>
            <w:pPr>
              <w:spacing w:after="0"/>
            </w:pPr>
            <w:r>
              <w:rPr>
                <w:rFonts w:ascii="Consolas" w:cs="Consolas" w:eastAsia="Consolas" w:hAnsi="Consolas"/>
                <w:color w:val="0B2447"/>
                <w:sz w:val="17"/>
                <w:szCs w:val="17"/>
              </w:rPr>
              <w:t xml:space="preserve">}</w:t>
            </w:r>
          </w:p>
        </w:tc>
      </w:tr>
    </w:tbl>
    <w:p>
      <w:pPr>
        <w:spacing w:after="160" w:line="276"/>
      </w:pPr>
      <w:r>
        <w:rPr>
          <w:rFonts w:ascii="Calibri" w:cs="Calibri" w:eastAsia="Calibri" w:hAnsi="Calibri"/>
          <w:color w:val="1A1A1A"/>
          <w:sz w:val="21"/>
          <w:szCs w:val="21"/>
        </w:rPr>
        <w:t xml:space="preserve">Reporting the exact broken position, rather than a binary pass/fail, is deliberate: it lets an auditor immediately scope an investigation to a specific event and time window instead of manually diffing the entire chain.</w:t>
      </w:r>
    </w:p>
    <w:p>
      <w:pPr>
        <w:pStyle w:val="ListParagraph"/>
        <w:numPr>
          <w:ilvl w:val="0"/>
          <w:numId w:val="2"/>
        </w:numPr>
        <w:spacing w:after="60" w:line="264"/>
      </w:pPr>
      <w:r>
        <w:rPr>
          <w:rFonts w:ascii="Calibri" w:cs="Calibri" w:eastAsia="Calibri" w:hAnsi="Calibri"/>
          <w:color w:val="1A1A1A"/>
          <w:sz w:val="21"/>
          <w:szCs w:val="21"/>
        </w:rPr>
        <w:t xml:space="preserve">On-demand verification: triggered by an auditor investigating a specific incident or resource.</w:t>
      </w:r>
    </w:p>
    <w:p>
      <w:pPr>
        <w:pStyle w:val="ListParagraph"/>
        <w:numPr>
          <w:ilvl w:val="0"/>
          <w:numId w:val="2"/>
        </w:numPr>
        <w:spacing w:after="60" w:line="264"/>
      </w:pPr>
      <w:r>
        <w:rPr>
          <w:rFonts w:ascii="Calibri" w:cs="Calibri" w:eastAsia="Calibri" w:hAnsi="Calibri"/>
          <w:color w:val="1A1A1A"/>
          <w:sz w:val="21"/>
          <w:szCs w:val="21"/>
        </w:rPr>
        <w:t xml:space="preserve">Scheduled verification: a background job runs full or incremental chain verification at a defined cadence (e.g., hourly incremental, nightly full) and reports results to CloudWatch and, on failure, to SNS.</w:t>
      </w:r>
    </w:p>
    <w:p>
      <w:pPr>
        <w:pStyle w:val="ListParagraph"/>
        <w:numPr>
          <w:ilvl w:val="0"/>
          <w:numId w:val="2"/>
        </w:numPr>
        <w:spacing w:after="60" w:line="264"/>
      </w:pPr>
      <w:r>
        <w:rPr>
          <w:rFonts w:ascii="Calibri" w:cs="Calibri" w:eastAsia="Calibri" w:hAnsi="Calibri"/>
          <w:color w:val="1A1A1A"/>
          <w:sz w:val="21"/>
          <w:szCs w:val="21"/>
        </w:rPr>
        <w:t xml:space="preserve">Incremental verification: for large chains, verification can checkpoint the last-verified position so routine runs only re-validate newly appended segments plus a boundary check against the prior checkpoint.</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9.  Long-Term Archival — Amazon S3</w:t>
      </w:r>
    </w:p>
    <w:p>
      <w:pPr>
        <w:spacing w:after="160" w:line="276"/>
      </w:pPr>
      <w:r>
        <w:rPr>
          <w:rFonts w:ascii="Calibri" w:cs="Calibri" w:eastAsia="Calibri" w:hAnsi="Calibri"/>
          <w:color w:val="1A1A1A"/>
          <w:sz w:val="21"/>
          <w:szCs w:val="21"/>
        </w:rPr>
        <w:t xml:space="preserve">MongoDB is treated as the operational and search layer, not the permanent compliance archive. Retaining years of audit history in a hot operational database is costly and unnecessary for records that are rarely queried after their active investigation window. Older records are rolled off to Amazon S3 under an explicit retention policy.</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9.1 — Hot/Cold Data Tiering</w:t>
            </w:r>
          </w:p>
          <w:p>
            <w:pPr>
              <w:spacing w:after="0"/>
            </w:pPr>
            <w:r>
              <w:rPr>
                <w:rFonts w:ascii="Consolas" w:cs="Consolas" w:eastAsia="Consolas" w:hAnsi="Consolas"/>
                <w:color w:val="0B2447"/>
                <w:sz w:val="17"/>
                <w:szCs w:val="17"/>
              </w:rPr>
              <w:t xml:space="preserve">  MongoDB (hot / operational)</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retention policy (e.g., &gt; 90 days)</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AWS S3 (cold / archive)</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Server-side encryption (SSE-KMS)</w:t>
            </w:r>
          </w:p>
          <w:p>
            <w:pPr>
              <w:spacing w:after="0"/>
            </w:pPr>
            <w:r>
              <w:rPr>
                <w:rFonts w:ascii="Consolas" w:cs="Consolas" w:eastAsia="Consolas" w:hAnsi="Consolas"/>
                <w:color w:val="0B2447"/>
                <w:sz w:val="17"/>
                <w:szCs w:val="17"/>
              </w:rPr>
              <w:t xml:space="preserve">      +-- Lifecycle policies (Standard -&gt; IA -&gt; Glacier)</w:t>
            </w:r>
          </w:p>
          <w:p>
            <w:pPr>
              <w:spacing w:after="0"/>
            </w:pPr>
            <w:r>
              <w:rPr>
                <w:rFonts w:ascii="Consolas" w:cs="Consolas" w:eastAsia="Consolas" w:hAnsi="Consolas"/>
                <w:color w:val="0B2447"/>
                <w:sz w:val="17"/>
                <w:szCs w:val="17"/>
              </w:rPr>
              <w:t xml:space="preserve">      +-- Object retention (Object Lock / WORM, where required)</w:t>
            </w:r>
          </w:p>
        </w:tc>
      </w:tr>
    </w:tbl>
    <w:p>
      <w:pPr>
        <w:spacing w:after="160" w:line="276"/>
      </w:pPr>
      <w:r>
        <w:rPr>
          <w:rFonts w:ascii="Calibri" w:cs="Calibri" w:eastAsia="Calibri" w:hAnsi="Calibri"/>
          <w:color w:val="1A1A1A"/>
          <w:sz w:val="21"/>
          <w:szCs w:val="21"/>
        </w:rPr>
        <w:t xml:space="preserve">For records subject to stronger regulatory retention obligations (e.g., financial trade records, payment records), S3 Object Lock in Compliance mode provides WORM-style guarantees — objects cannot be deleted or overwritten, even by the account root, until the retention period expires. This directly supports the platform's immutability objective at the archive tier, not only at the operational tier.</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6900"/>
      </w:tblGrid>
      <w:tr>
        <w:trPr>
          <w:tblHeader/>
        </w:trPr>
        <w:tc>
          <w:tcPr>
            <w:tcW w:type="dxa" w:w="28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Layer</w:t>
            </w:r>
          </w:p>
        </w:tc>
        <w:tc>
          <w:tcPr>
            <w:tcW w:type="dxa" w:w="6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Retention Characteristic</w:t>
            </w:r>
          </w:p>
        </w:tc>
      </w:tr>
      <w:tr>
        <w:tc>
          <w:tcPr>
            <w:tcW w:type="dxa" w:w="2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MongoDB (hot)</w:t>
            </w:r>
          </w:p>
        </w:tc>
        <w:tc>
          <w:tcPr>
            <w:tcW w:type="dxa" w:w="6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Recent window (e.g., 90 days) optimized for low-latency investigator search.</w:t>
            </w:r>
          </w:p>
        </w:tc>
      </w:tr>
      <w:tr>
        <w:tc>
          <w:tcPr>
            <w:tcW w:type="dxa" w:w="2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S3 Standard/IA (warm)</w:t>
            </w:r>
          </w:p>
        </w:tc>
        <w:tc>
          <w:tcPr>
            <w:tcW w:type="dxa" w:w="6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Rolled-off records retained for the medium term, still retrievable within minutes.</w:t>
            </w:r>
          </w:p>
        </w:tc>
      </w:tr>
      <w:tr>
        <w:tc>
          <w:tcPr>
            <w:tcW w:type="dxa" w:w="2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S3 Glacier (cold)</w:t>
            </w:r>
          </w:p>
        </w:tc>
        <w:tc>
          <w:tcPr>
            <w:tcW w:type="dxa" w:w="6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Long-tail retention for regulatory minimums (e.g., 7 years), retrieval on the order of hours.</w:t>
            </w:r>
          </w:p>
        </w:tc>
      </w:tr>
      <w:tr>
        <w:tc>
          <w:tcPr>
            <w:tcW w:type="dxa" w:w="2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S3 Object Lock (WORM)</w:t>
            </w:r>
          </w:p>
        </w:tc>
        <w:tc>
          <w:tcPr>
            <w:tcW w:type="dxa" w:w="6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Applied selectively to record classes with a hard regulatory non-deletion requirement.</w:t>
            </w:r>
          </w:p>
        </w:tc>
      </w:tr>
    </w:tbl>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Exact retention windows per record class (trading, payments, HR, general application) are defined by the Data Retention &amp; Classification Policy and are configuration, not hard-coded logic, so they can evolve without a platform redeploy.</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10.  Security Alerting — Amazon SNS</w:t>
      </w:r>
    </w:p>
    <w:p>
      <w:pPr>
        <w:spacing w:after="160" w:line="276"/>
      </w:pPr>
      <w:r>
        <w:rPr>
          <w:rFonts w:ascii="Calibri" w:cs="Calibri" w:eastAsia="Calibri" w:hAnsi="Calibri"/>
          <w:color w:val="1A1A1A"/>
          <w:sz w:val="21"/>
          <w:szCs w:val="21"/>
        </w:rPr>
        <w:t xml:space="preserve">SNS is reserved for security-worthy notifications, not general audit traffic. Fanning every normal audit event through an alerting channel would both be operationally noisy and would desensitize responders to genuine signals — an anti-pattern the design explicitly avoids.</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10.1 — Alert Fan-Out</w:t>
            </w:r>
          </w:p>
          <w:p>
            <w:pPr>
              <w:spacing w:after="0"/>
            </w:pPr>
            <w:r>
              <w:rPr>
                <w:rFonts w:ascii="Consolas" w:cs="Consolas" w:eastAsia="Consolas" w:hAnsi="Consolas"/>
                <w:color w:val="0B2447"/>
                <w:sz w:val="17"/>
                <w:szCs w:val="17"/>
              </w:rPr>
              <w:t xml:space="preserve">  Integrity verification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HASH_MISMATCH</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SNS Topic</w:t>
            </w:r>
          </w:p>
          <w:p>
            <w:pPr>
              <w:spacing w:after="0"/>
            </w:pPr>
            <w:r>
              <w:rPr>
                <w:rFonts w:ascii="Consolas" w:cs="Consolas" w:eastAsia="Consolas" w:hAnsi="Consolas"/>
                <w:color w:val="0B2447"/>
                <w:sz w:val="17"/>
                <w:szCs w:val="17"/>
              </w:rPr>
              <w:t xml:space="preserve">     /    |    \</w:t>
            </w:r>
          </w:p>
          <w:p>
            <w:pPr>
              <w:spacing w:after="0"/>
            </w:pPr>
            <w:r>
              <w:rPr>
                <w:rFonts w:ascii="Consolas" w:cs="Consolas" w:eastAsia="Consolas" w:hAnsi="Consolas"/>
                <w:color w:val="0B2447"/>
                <w:sz w:val="17"/>
                <w:szCs w:val="17"/>
              </w:rPr>
              <w:t xml:space="preserve">    v     v     v</w:t>
            </w:r>
          </w:p>
          <w:p>
            <w:pPr>
              <w:spacing w:after="0"/>
            </w:pPr>
            <w:r>
              <w:rPr>
                <w:rFonts w:ascii="Consolas" w:cs="Consolas" w:eastAsia="Consolas" w:hAnsi="Consolas"/>
                <w:color w:val="0B2447"/>
                <w:sz w:val="17"/>
                <w:szCs w:val="17"/>
              </w:rPr>
              <w:t xml:space="preserve">  Email  Slack  Security System (SIEM)</w:t>
            </w:r>
          </w:p>
        </w:tc>
      </w:tr>
    </w:tbl>
    <w:p>
      <w:pPr>
        <w:pStyle w:val="Heading3"/>
        <w:spacing w:after="100" w:before="220"/>
      </w:pPr>
      <w:r>
        <w:rPr>
          <w:rFonts w:ascii="Calibri" w:cs="Calibri" w:eastAsia="Calibri" w:hAnsi="Calibri"/>
          <w:b/>
          <w:bCs/>
          <w:color w:val="1A1A1A"/>
          <w:sz w:val="22"/>
          <w:szCs w:val="22"/>
        </w:rPr>
        <w:t xml:space="preserve">Severity Model</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4800"/>
        <w:gridCol w:w="2900"/>
      </w:tblGrid>
      <w:tr>
        <w:trPr>
          <w:tblHeader/>
        </w:trPr>
        <w:tc>
          <w:tcPr>
            <w:tcW w:type="dxa" w:w="1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Severity</w:t>
            </w:r>
          </w:p>
        </w:tc>
        <w:tc>
          <w:tcPr>
            <w:tcW w:type="dxa" w:w="48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Example Triggers</w:t>
            </w:r>
          </w:p>
        </w:tc>
        <w:tc>
          <w:tcPr>
            <w:tcW w:type="dxa" w:w="2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Notification Channels</w:t>
            </w:r>
          </w:p>
        </w:tc>
      </w:tr>
      <w:tr>
        <w:tc>
          <w:tcPr>
            <w:tcW w:type="dxa" w:w="1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CRITICAL</w:t>
            </w:r>
          </w:p>
        </w:tc>
        <w:tc>
          <w:tcPr>
            <w:tcW w:type="dxa" w:w="4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 chain tampering; unauthorized audit-store access; repeated integrity failures</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PagerDuty/on-call, Slack #security-critical, SIEM, email to security distribution list</w:t>
            </w:r>
          </w:p>
        </w:tc>
      </w:tr>
      <w:tr>
        <w:tc>
          <w:tcPr>
            <w:tcW w:type="dxa" w:w="1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HIGH</w:t>
            </w:r>
          </w:p>
        </w:tc>
        <w:tc>
          <w:tcPr>
            <w:tcW w:type="dxa" w:w="4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Suspicious administrative activity; excessive failed verification attempts</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Slack #security-alerts, SIEM, email to security distribution list</w:t>
            </w:r>
          </w:p>
        </w:tc>
      </w:tr>
      <w:tr>
        <w:tc>
          <w:tcPr>
            <w:tcW w:type="dxa" w:w="1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MEDIUM</w:t>
            </w:r>
          </w:p>
        </w:tc>
        <w:tc>
          <w:tcPr>
            <w:tcW w:type="dxa" w:w="4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Configuration or security-relevant setting changes</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Slack #security-alerts, SIEM</w:t>
            </w:r>
          </w:p>
        </w:tc>
      </w:tr>
    </w:tbl>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Alert thresholds and routing rules are owned by the security team and stored as configuration so they can be tuned without a code change, consistent with the platform's alertable design principle (Section 19).</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11.  Monitoring &amp; Observability — Amazon CloudWatch</w:t>
      </w:r>
    </w:p>
    <w:p>
      <w:pPr>
        <w:spacing w:after="160" w:line="276"/>
      </w:pPr>
      <w:r>
        <w:rPr>
          <w:rFonts w:ascii="Calibri" w:cs="Calibri" w:eastAsia="Calibri" w:hAnsi="Calibri"/>
          <w:color w:val="1A1A1A"/>
          <w:sz w:val="21"/>
          <w:szCs w:val="21"/>
        </w:rPr>
        <w:t xml:space="preserve">Every tier of the platform — API, Consumer, SQS, MongoDB, Redis, and any supporting workers — emits metrics and logs to CloudWatch, giving operations and security teams a single pane of glass for both operational health and security-relevant signal.</w:t>
      </w:r>
    </w:p>
    <w:p>
      <w:pPr>
        <w:pStyle w:val="Heading3"/>
        <w:spacing w:after="100" w:before="220"/>
      </w:pPr>
      <w:r>
        <w:rPr>
          <w:rFonts w:ascii="Calibri" w:cs="Calibri" w:eastAsia="Calibri" w:hAnsi="Calibri"/>
          <w:b/>
          <w:bCs/>
          <w:color w:val="1A1A1A"/>
          <w:sz w:val="22"/>
          <w:szCs w:val="22"/>
        </w:rPr>
        <w:t xml:space="preserve">Key Metrics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500"/>
      </w:tblGrid>
      <w:tr>
        <w:trPr>
          <w:tblHeader/>
        </w:trPr>
        <w:tc>
          <w:tcPr>
            <w:tcW w:type="dxa" w:w="32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Metric</w:t>
            </w:r>
          </w:p>
        </w:tc>
        <w:tc>
          <w:tcPr>
            <w:tcW w:type="dxa" w:w="65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Purpose</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audit.events.received</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Ingestion volume at the API tier</w:t>
            </w:r>
          </w:p>
        </w:tc>
      </w:tr>
      <w:tr>
        <w:tc>
          <w:tcPr>
            <w:tcW w:type="dxa" w:w="3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audit.events.processed</w:t>
            </w:r>
          </w:p>
        </w:tc>
        <w:tc>
          <w:tcPr>
            <w:tcW w:type="dxa" w:w="6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Successful consumer throughput</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audit.events.failed</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Processing failures requiring investigation</w:t>
            </w:r>
          </w:p>
        </w:tc>
      </w:tr>
      <w:tr>
        <w:tc>
          <w:tcPr>
            <w:tcW w:type="dxa" w:w="3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audit.events.duplicate</w:t>
            </w:r>
          </w:p>
        </w:tc>
        <w:tc>
          <w:tcPr>
            <w:tcW w:type="dxa" w:w="6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Idempotency effectiveness / redelivery rate</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audit.verification.failed</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Integrity check failures</w:t>
            </w:r>
          </w:p>
        </w:tc>
      </w:tr>
      <w:tr>
        <w:tc>
          <w:tcPr>
            <w:tcW w:type="dxa" w:w="3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audit.consumer.lag</w:t>
            </w:r>
          </w:p>
        </w:tc>
        <w:tc>
          <w:tcPr>
            <w:tcW w:type="dxa" w:w="6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End-to-end processing latency / backlog risk</w:t>
            </w:r>
          </w:p>
        </w:tc>
      </w:tr>
      <w:tr>
        <w:tc>
          <w:tcPr>
            <w:tcW w:type="dxa" w:w="3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sqs.messages.visible</w:t>
            </w:r>
          </w:p>
        </w:tc>
        <w:tc>
          <w:tcPr>
            <w:tcW w:type="dxa" w:w="6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Queue depth — leading indicator for consumer scale-out</w:t>
            </w:r>
          </w:p>
        </w:tc>
      </w:tr>
    </w:tbl>
    <w:p>
      <w:pPr>
        <w:pStyle w:val="Heading3"/>
        <w:spacing w:after="100" w:before="220"/>
      </w:pPr>
      <w:r>
        <w:rPr>
          <w:rFonts w:ascii="Calibri" w:cs="Calibri" w:eastAsia="Calibri" w:hAnsi="Calibri"/>
          <w:b/>
          <w:bCs/>
          <w:color w:val="1A1A1A"/>
          <w:sz w:val="22"/>
          <w:szCs w:val="22"/>
        </w:rPr>
        <w:t xml:space="preserve">Alarms</w:t>
      </w:r>
    </w:p>
    <w:p>
      <w:pPr>
        <w:pStyle w:val="ListParagraph"/>
        <w:numPr>
          <w:ilvl w:val="0"/>
          <w:numId w:val="2"/>
        </w:numPr>
        <w:spacing w:after="60" w:line="264"/>
      </w:pPr>
      <w:r>
        <w:rPr>
          <w:rFonts w:ascii="Calibri" w:cs="Calibri" w:eastAsia="Calibri" w:hAnsi="Calibri"/>
          <w:color w:val="1A1A1A"/>
          <w:sz w:val="21"/>
          <w:szCs w:val="21"/>
        </w:rPr>
        <w:t xml:space="preserve">SQS backlog exceeds threshold (leading indicator of under-provisioned consumers or a downstream outage).</w:t>
      </w:r>
    </w:p>
    <w:p>
      <w:pPr>
        <w:pStyle w:val="ListParagraph"/>
        <w:numPr>
          <w:ilvl w:val="0"/>
          <w:numId w:val="2"/>
        </w:numPr>
        <w:spacing w:after="60" w:line="264"/>
      </w:pPr>
      <w:r>
        <w:rPr>
          <w:rFonts w:ascii="Calibri" w:cs="Calibri" w:eastAsia="Calibri" w:hAnsi="Calibri"/>
          <w:color w:val="1A1A1A"/>
          <w:sz w:val="21"/>
          <w:szCs w:val="21"/>
        </w:rPr>
        <w:t xml:space="preserve">Consumer failure rate exceeds threshold.</w:t>
      </w:r>
    </w:p>
    <w:p>
      <w:pPr>
        <w:pStyle w:val="ListParagraph"/>
        <w:numPr>
          <w:ilvl w:val="0"/>
          <w:numId w:val="2"/>
        </w:numPr>
        <w:spacing w:after="60" w:line="264"/>
      </w:pPr>
      <w:r>
        <w:rPr>
          <w:rFonts w:ascii="Calibri" w:cs="Calibri" w:eastAsia="Calibri" w:hAnsi="Calibri"/>
          <w:color w:val="1A1A1A"/>
          <w:sz w:val="21"/>
          <w:szCs w:val="21"/>
        </w:rPr>
        <w:t xml:space="preserve">Integrity verification failure (any occurrence — routed as CRITICAL).</w:t>
      </w:r>
    </w:p>
    <w:p>
      <w:pPr>
        <w:pStyle w:val="ListParagraph"/>
        <w:numPr>
          <w:ilvl w:val="0"/>
          <w:numId w:val="2"/>
        </w:numPr>
        <w:spacing w:after="60" w:line="264"/>
      </w:pPr>
      <w:r>
        <w:rPr>
          <w:rFonts w:ascii="Calibri" w:cs="Calibri" w:eastAsia="Calibri" w:hAnsi="Calibri"/>
          <w:color w:val="1A1A1A"/>
          <w:sz w:val="21"/>
          <w:szCs w:val="21"/>
        </w:rPr>
        <w:t xml:space="preserve">API 5xx error rate spike.</w:t>
      </w:r>
    </w:p>
    <w:p>
      <w:pPr>
        <w:pStyle w:val="ListParagraph"/>
        <w:numPr>
          <w:ilvl w:val="0"/>
          <w:numId w:val="2"/>
        </w:numPr>
        <w:spacing w:after="60" w:line="264"/>
      </w:pPr>
      <w:r>
        <w:rPr>
          <w:rFonts w:ascii="Calibri" w:cs="Calibri" w:eastAsia="Calibri" w:hAnsi="Calibri"/>
          <w:color w:val="1A1A1A"/>
          <w:sz w:val="21"/>
          <w:szCs w:val="21"/>
        </w:rPr>
        <w:t xml:space="preserve">Unusual audit activity volume (statistical deviation from baseline, e.g., a sudden surge of DELETE actions).</w:t>
      </w:r>
    </w:p>
    <w:p>
      <w:pPr>
        <w:spacing w:after="160" w:line="276"/>
      </w:pPr>
      <w:r>
        <w:rPr>
          <w:rFonts w:ascii="Calibri" w:cs="Calibri" w:eastAsia="Calibri" w:hAnsi="Calibri"/>
          <w:color w:val="1A1A1A"/>
          <w:sz w:val="21"/>
          <w:szCs w:val="21"/>
        </w:rPr>
        <w:t xml:space="preserve">CloudWatch alarms feed the same security notification pipeline described in Section 10, so an infrastructure-level anomaly and a data-level integrity anomaly are both visible through one consistent alerting path.</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12.  Security Architecture</w:t>
      </w:r>
    </w:p>
    <w:p>
      <w:pPr>
        <w:pStyle w:val="Heading2"/>
        <w:spacing w:after="140" w:before="320"/>
      </w:pPr>
      <w:r>
        <w:rPr>
          <w:rFonts w:ascii="Calibri" w:cs="Calibri" w:eastAsia="Calibri" w:hAnsi="Calibri"/>
          <w:b/>
          <w:bCs/>
          <w:color w:val="2E5395"/>
          <w:sz w:val="24"/>
          <w:szCs w:val="24"/>
        </w:rPr>
        <w:t xml:space="preserve">12.1  Authentication</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0"/>
            </w:pPr>
            <w:r>
              <w:rPr>
                <w:rFonts w:ascii="Consolas" w:cs="Consolas" w:eastAsia="Consolas" w:hAnsi="Consolas"/>
                <w:color w:val="0B2447"/>
                <w:sz w:val="17"/>
                <w:szCs w:val="17"/>
              </w:rPr>
              <w:t xml:space="preserve">  User / Service</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JWT issued by enterprise Identity Provider (IdP)</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Audit API  (validates signature, issuer, audience, expiry)</w:t>
            </w:r>
          </w:p>
        </w:tc>
      </w:tr>
    </w:tbl>
    <w:p>
      <w:pPr>
        <w:spacing w:after="160" w:line="276"/>
      </w:pPr>
      <w:r>
        <w:rPr>
          <w:rFonts w:ascii="Calibri" w:cs="Calibri" w:eastAsia="Calibri" w:hAnsi="Calibri"/>
          <w:color w:val="1A1A1A"/>
          <w:sz w:val="21"/>
          <w:szCs w:val="21"/>
        </w:rPr>
        <w:t xml:space="preserve">All calls to the Audit API — human and service-to-service — must present a valid JWT issued by the enterprise Identity Provider. Service-to-service calls additionally use mutual TLS within the private network segment. No endpoint accepts unauthenticated traffic; there is no anonymous read path, including for health/status endpoints beyond a minimal liveness probe.</w:t>
      </w:r>
    </w:p>
    <w:p>
      <w:pPr>
        <w:pStyle w:val="Heading2"/>
        <w:spacing w:after="140" w:before="320"/>
      </w:pPr>
      <w:r>
        <w:rPr>
          <w:rFonts w:ascii="Calibri" w:cs="Calibri" w:eastAsia="Calibri" w:hAnsi="Calibri"/>
          <w:b/>
          <w:bCs/>
          <w:color w:val="2E5395"/>
          <w:sz w:val="24"/>
          <w:szCs w:val="24"/>
        </w:rPr>
        <w:t xml:space="preserve">12.2  Authorization (RBAC)</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7500"/>
      </w:tblGrid>
      <w:tr>
        <w:trPr>
          <w:tblHeader/>
        </w:trPr>
        <w:tc>
          <w:tcPr>
            <w:tcW w:type="dxa" w:w="18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Role</w:t>
            </w:r>
          </w:p>
        </w:tc>
        <w:tc>
          <w:tcPr>
            <w:tcW w:type="dxa" w:w="75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Capabilities</w:t>
            </w:r>
          </w:p>
        </w:tc>
      </w:tr>
      <w:tr>
        <w:tc>
          <w:tcPr>
            <w:tcW w:type="dxa" w:w="1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w:t>
            </w:r>
          </w:p>
        </w:tc>
        <w:tc>
          <w:tcPr>
            <w:tcW w:type="dxa" w:w="7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View permitted audit records for their own scope. No verification or administrative operations.</w:t>
            </w:r>
          </w:p>
        </w:tc>
      </w:tr>
      <w:tr>
        <w:tc>
          <w:tcPr>
            <w:tcW w:type="dxa" w:w="1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AUDITOR</w:t>
            </w:r>
          </w:p>
        </w:tc>
        <w:tc>
          <w:tcPr>
            <w:tcW w:type="dxa" w:w="7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Search audit logs; view full event detail; run integrity verification; investigate failures.</w:t>
            </w:r>
          </w:p>
        </w:tc>
      </w:tr>
      <w:tr>
        <w:tc>
          <w:tcPr>
            <w:tcW w:type="dxa" w:w="1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ADMIN</w:t>
            </w:r>
          </w:p>
        </w:tc>
        <w:tc>
          <w:tcPr>
            <w:tcW w:type="dxa" w:w="7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Everything AUDITOR can do, plus user/role management, platform configuration, and security administration.</w:t>
            </w:r>
          </w:p>
        </w:tc>
      </w:tr>
    </w:tbl>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Role assignment is sourced from the enterprise IdP/entitlement system, not managed as a platform-local user table, to keep a single authoritative source of identity and access.</w:t>
            </w:r>
          </w:p>
        </w:tc>
      </w:tr>
    </w:tbl>
    <w:p>
      <w:pPr>
        <w:pStyle w:val="Heading2"/>
        <w:spacing w:after="140" w:before="320"/>
      </w:pPr>
      <w:r>
        <w:rPr>
          <w:rFonts w:ascii="Calibri" w:cs="Calibri" w:eastAsia="Calibri" w:hAnsi="Calibri"/>
          <w:b/>
          <w:bCs/>
          <w:color w:val="2E5395"/>
          <w:sz w:val="24"/>
          <w:szCs w:val="24"/>
        </w:rPr>
        <w:t xml:space="preserve">12.3  Defense in Depth: Frontend vs. Backend Enforcement</w:t>
      </w:r>
    </w:p>
    <w:p>
      <w:pPr>
        <w:spacing w:after="160" w:line="276"/>
      </w:pPr>
      <w:r>
        <w:rPr>
          <w:rFonts w:ascii="Calibri" w:cs="Calibri" w:eastAsia="Calibri" w:hAnsi="Calibri"/>
          <w:color w:val="1A1A1A"/>
          <w:sz w:val="21"/>
          <w:szCs w:val="21"/>
        </w:rPr>
        <w:t xml:space="preserve">Frontend role protection alone is not a security boundary — it is a usability convenience. The backend must independently enforce authorization on every endpoint, because a client-side check can always be bypassed by a sufficiently motivated caller hitting the API directly.</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12.1 — UI Convenience vs. Backend Enforcement</w:t>
            </w:r>
          </w:p>
          <w:p>
            <w:pPr>
              <w:spacing w:after="0"/>
            </w:pPr>
            <w:r>
              <w:rPr>
                <w:rFonts w:ascii="Consolas" w:cs="Consolas" w:eastAsia="Consolas" w:hAnsi="Consolas"/>
                <w:color w:val="0B2447"/>
                <w:sz w:val="17"/>
                <w:szCs w:val="17"/>
              </w:rPr>
              <w:t xml:space="preserve">  Frontend                       Backend</w:t>
            </w:r>
          </w:p>
          <w:p>
            <w:pPr>
              <w:spacing w:after="0"/>
            </w:pPr>
            <w:r>
              <w:rPr>
                <w:rFonts w:ascii="Consolas" w:cs="Consolas" w:eastAsia="Consolas" w:hAnsi="Consolas"/>
                <w:color w:val="0B2447"/>
                <w:sz w:val="17"/>
                <w:szCs w:val="17"/>
              </w:rPr>
              <w:t xml:space="preserve">     |                              |</w:t>
            </w:r>
          </w:p>
          <w:p>
            <w:pPr>
              <w:spacing w:after="0"/>
            </w:pPr>
            <w:r>
              <w:rPr>
                <w:rFonts w:ascii="Consolas" w:cs="Consolas" w:eastAsia="Consolas" w:hAnsi="Consolas"/>
                <w:color w:val="0B2447"/>
                <w:sz w:val="17"/>
                <w:szCs w:val="17"/>
              </w:rPr>
              <w:t xml:space="preserve">     v                              v</w:t>
            </w:r>
          </w:p>
          <w:p>
            <w:pPr>
              <w:spacing w:after="0"/>
            </w:pPr>
            <w:r>
              <w:rPr>
                <w:rFonts w:ascii="Consolas" w:cs="Consolas" w:eastAsia="Consolas" w:hAnsi="Consolas"/>
                <w:color w:val="0B2447"/>
                <w:sz w:val="17"/>
                <w:szCs w:val="17"/>
              </w:rPr>
              <w:t xml:space="preserve">  Hide button / page          @PreAuthorize(...)</w:t>
            </w:r>
          </w:p>
          <w:p>
            <w:pPr>
              <w:spacing w:after="0"/>
            </w:pPr>
            <w:r>
              <w:rPr>
                <w:rFonts w:ascii="Consolas" w:cs="Consolas" w:eastAsia="Consolas" w:hAnsi="Consolas"/>
                <w:color w:val="0B2447"/>
                <w:sz w:val="17"/>
                <w:szCs w:val="17"/>
              </w:rPr>
              <w:t xml:space="preserve">  (UX convenience only)       Actually enforce permission</w:t>
            </w:r>
          </w:p>
          <w:p>
            <w:pPr>
              <w:spacing w:after="0"/>
            </w:pPr>
            <w:r>
              <w:rPr>
                <w:rFonts w:ascii="Consolas" w:cs="Consolas" w:eastAsia="Consolas" w:hAnsi="Consolas"/>
                <w:color w:val="0B2447"/>
                <w:sz w:val="17"/>
                <w:szCs w:val="17"/>
              </w:rPr>
              <w:t xml:space="preserve">                               (the real security boundary)</w:t>
            </w:r>
          </w:p>
        </w:tc>
      </w:tr>
    </w:tbl>
    <w:p>
      <w:pPr>
        <w:pStyle w:val="Heading2"/>
        <w:spacing w:after="140" w:before="320"/>
      </w:pPr>
      <w:r>
        <w:rPr>
          <w:rFonts w:ascii="Calibri" w:cs="Calibri" w:eastAsia="Calibri" w:hAnsi="Calibri"/>
          <w:b/>
          <w:bCs/>
          <w:color w:val="2E5395"/>
          <w:sz w:val="24"/>
          <w:szCs w:val="24"/>
        </w:rPr>
        <w:t xml:space="preserve">12.4  Network Security Boundaries</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12.2 — Network Segmentation</w:t>
            </w:r>
          </w:p>
          <w:p>
            <w:pPr>
              <w:spacing w:after="0"/>
            </w:pPr>
            <w:r>
              <w:rPr>
                <w:rFonts w:ascii="Consolas" w:cs="Consolas" w:eastAsia="Consolas" w:hAnsi="Consolas"/>
                <w:color w:val="0B2447"/>
                <w:sz w:val="17"/>
                <w:szCs w:val="17"/>
              </w:rPr>
              <w:t xml:space="preserve">           Internet / Internal Network</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API Gateway / Load Balancer</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API Layer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w:t>
            </w:r>
          </w:p>
          <w:p>
            <w:pPr>
              <w:spacing w:after="0"/>
            </w:pPr>
            <w:r>
              <w:rPr>
                <w:rFonts w:ascii="Consolas" w:cs="Consolas" w:eastAsia="Consolas" w:hAnsi="Consolas"/>
                <w:color w:val="0B2447"/>
                <w:sz w:val="17"/>
                <w:szCs w:val="17"/>
              </w:rPr>
              <w:t xml:space="preserve">      Application              Audit Worker</w:t>
            </w:r>
          </w:p>
          <w:p>
            <w:pPr>
              <w:spacing w:after="0"/>
            </w:pPr>
            <w:r>
              <w:rPr>
                <w:rFonts w:ascii="Consolas" w:cs="Consolas" w:eastAsia="Consolas" w:hAnsi="Consolas"/>
                <w:color w:val="0B2447"/>
                <w:sz w:val="17"/>
                <w:szCs w:val="17"/>
              </w:rPr>
              <w:t xml:space="preserve">      (Audit API)              (Consumer)</w:t>
            </w:r>
          </w:p>
          <w:p>
            <w:pPr>
              <w:spacing w:after="0"/>
            </w:pPr>
            <w:r>
              <w:rPr>
                <w:rFonts w:ascii="Consolas" w:cs="Consolas" w:eastAsia="Consolas" w:hAnsi="Consolas"/>
                <w:color w:val="0B2447"/>
                <w:sz w:val="17"/>
                <w:szCs w:val="17"/>
              </w:rPr>
              <w:t xml:space="preserve">           |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Private subnet</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            v            v</w:t>
            </w:r>
          </w:p>
          <w:p>
            <w:pPr>
              <w:spacing w:after="0"/>
            </w:pPr>
            <w:r>
              <w:rPr>
                <w:rFonts w:ascii="Consolas" w:cs="Consolas" w:eastAsia="Consolas" w:hAnsi="Consolas"/>
                <w:color w:val="0B2447"/>
                <w:sz w:val="17"/>
                <w:szCs w:val="17"/>
              </w:rPr>
              <w:t xml:space="preserve">      MongoDB        Redis         SQS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SNS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Monitoring</w:t>
            </w:r>
          </w:p>
        </w:tc>
      </w:tr>
    </w:tbl>
    <w:p>
      <w:pPr>
        <w:spacing w:after="160" w:line="276"/>
      </w:pPr>
      <w:r>
        <w:rPr>
          <w:rFonts w:ascii="Calibri" w:cs="Calibri" w:eastAsia="Calibri" w:hAnsi="Calibri"/>
          <w:color w:val="1A1A1A"/>
          <w:sz w:val="21"/>
          <w:szCs w:val="21"/>
        </w:rPr>
        <w:t xml:space="preserve">MongoDB, Redis, and the SQS/SNS integration points are never publicly exposed. They reside in private subnets reachable only from the API and Consumer service tiers, which themselves sit behind an API gateway / load balancer at the network edge. Security group and NACL rules enforce least-privilege connectivity between tiers.</w:t>
      </w:r>
    </w:p>
    <w:p>
      <w:pPr>
        <w:pStyle w:val="Heading2"/>
        <w:spacing w:after="140" w:before="320"/>
      </w:pPr>
      <w:r>
        <w:rPr>
          <w:rFonts w:ascii="Calibri" w:cs="Calibri" w:eastAsia="Calibri" w:hAnsi="Calibri"/>
          <w:b/>
          <w:bCs/>
          <w:color w:val="2E5395"/>
          <w:sz w:val="24"/>
          <w:szCs w:val="24"/>
        </w:rPr>
        <w:t xml:space="preserve">12.5  Additional Controls</w:t>
      </w:r>
    </w:p>
    <w:p>
      <w:pPr>
        <w:pStyle w:val="ListParagraph"/>
        <w:numPr>
          <w:ilvl w:val="0"/>
          <w:numId w:val="2"/>
        </w:numPr>
        <w:spacing w:after="60" w:line="264"/>
      </w:pPr>
      <w:r>
        <w:rPr>
          <w:rFonts w:ascii="Calibri" w:cs="Calibri" w:eastAsia="Calibri" w:hAnsi="Calibri"/>
          <w:color w:val="1A1A1A"/>
          <w:sz w:val="21"/>
          <w:szCs w:val="21"/>
        </w:rPr>
        <w:t xml:space="preserve">Encryption in transit: TLS 1.2+ for all external and internal service-to-service traffic.</w:t>
      </w:r>
    </w:p>
    <w:p>
      <w:pPr>
        <w:pStyle w:val="ListParagraph"/>
        <w:numPr>
          <w:ilvl w:val="0"/>
          <w:numId w:val="2"/>
        </w:numPr>
        <w:spacing w:after="60" w:line="264"/>
      </w:pPr>
      <w:r>
        <w:rPr>
          <w:rFonts w:ascii="Calibri" w:cs="Calibri" w:eastAsia="Calibri" w:hAnsi="Calibri"/>
          <w:color w:val="1A1A1A"/>
          <w:sz w:val="21"/>
          <w:szCs w:val="21"/>
        </w:rPr>
        <w:t xml:space="preserve">Encryption at rest: MongoDB encrypted storage volumes; S3 SSE-KMS with customer-managed keys for archived data.</w:t>
      </w:r>
    </w:p>
    <w:p>
      <w:pPr>
        <w:pStyle w:val="ListParagraph"/>
        <w:numPr>
          <w:ilvl w:val="0"/>
          <w:numId w:val="2"/>
        </w:numPr>
        <w:spacing w:after="60" w:line="264"/>
      </w:pPr>
      <w:r>
        <w:rPr>
          <w:rFonts w:ascii="Calibri" w:cs="Calibri" w:eastAsia="Calibri" w:hAnsi="Calibri"/>
          <w:color w:val="1A1A1A"/>
          <w:sz w:val="21"/>
          <w:szCs w:val="21"/>
        </w:rPr>
        <w:t xml:space="preserve">Secrets management: database credentials, IdP client secrets, and API keys are held in a managed secrets store (e.g., AWS Secrets Manager) and injected at runtime — never committed to source or baked into images.</w:t>
      </w:r>
    </w:p>
    <w:p>
      <w:pPr>
        <w:pStyle w:val="ListParagraph"/>
        <w:numPr>
          <w:ilvl w:val="0"/>
          <w:numId w:val="2"/>
        </w:numPr>
        <w:spacing w:after="60" w:line="264"/>
      </w:pPr>
      <w:r>
        <w:rPr>
          <w:rFonts w:ascii="Calibri" w:cs="Calibri" w:eastAsia="Calibri" w:hAnsi="Calibri"/>
          <w:color w:val="1A1A1A"/>
          <w:sz w:val="21"/>
          <w:szCs w:val="21"/>
        </w:rPr>
        <w:t xml:space="preserve">Principle of least privilege: each service identity (API, Consumer) has the minimum IAM/database grants needed for its role — the Consumer's write identity has insert-only privilege on the audit collection, with no update or delete grant.</w:t>
      </w:r>
    </w:p>
    <w:p>
      <w:pPr>
        <w:pStyle w:val="ListParagraph"/>
        <w:numPr>
          <w:ilvl w:val="0"/>
          <w:numId w:val="2"/>
        </w:numPr>
        <w:spacing w:after="60" w:line="264"/>
      </w:pPr>
      <w:r>
        <w:rPr>
          <w:rFonts w:ascii="Calibri" w:cs="Calibri" w:eastAsia="Calibri" w:hAnsi="Calibri"/>
          <w:color w:val="1A1A1A"/>
          <w:sz w:val="21"/>
          <w:szCs w:val="21"/>
        </w:rPr>
        <w:t xml:space="preserve">Audit-of-the-auditor: administrative actions taken on the platform itself (role changes, configuration changes, verification triggers) are themselves emitted as audit events, closing the loop on privileged-user oversight.</w:t>
      </w:r>
    </w:p>
    <w:p>
      <w:pPr>
        <w:pStyle w:val="ListParagraph"/>
        <w:numPr>
          <w:ilvl w:val="0"/>
          <w:numId w:val="2"/>
        </w:numPr>
        <w:spacing w:after="60" w:line="264"/>
      </w:pPr>
      <w:r>
        <w:rPr>
          <w:rFonts w:ascii="Calibri" w:cs="Calibri" w:eastAsia="Calibri" w:hAnsi="Calibri"/>
          <w:color w:val="1A1A1A"/>
          <w:sz w:val="21"/>
          <w:szCs w:val="21"/>
        </w:rPr>
        <w:t xml:space="preserve">Input validation and abuse protection: strict schema validation, payload size limits, and rate limiting at the API tier to protect against malformed or excessive ingestion.</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13.  Frontend / UI Architecture</w:t>
      </w:r>
    </w:p>
    <w:p>
      <w:pPr>
        <w:spacing w:after="160" w:line="276"/>
      </w:pPr>
      <w:r>
        <w:rPr>
          <w:rFonts w:ascii="Calibri" w:cs="Calibri" w:eastAsia="Calibri" w:hAnsi="Calibri"/>
          <w:color w:val="1A1A1A"/>
          <w:sz w:val="21"/>
          <w:szCs w:val="21"/>
        </w:rPr>
        <w:t xml:space="preserve">The Audit Dashboard / Investigator UI is a React single-page application layered directly on top of the platform's REST APIs — it holds no independent business logic or data store and treats the backend as the sole source of truth and sole enforcement point.</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13.1 — UI-to-API Mapping</w:t>
            </w:r>
          </w:p>
          <w:p>
            <w:pPr>
              <w:spacing w:after="0"/>
            </w:pPr>
            <w:r>
              <w:rPr>
                <w:rFonts w:ascii="Consolas" w:cs="Consolas" w:eastAsia="Consolas" w:hAnsi="Consolas"/>
                <w:color w:val="0B2447"/>
                <w:sz w:val="17"/>
                <w:szCs w:val="17"/>
              </w:rPr>
              <w:t xml:space="preserve">                  React Frontend</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              v              v</w:t>
            </w:r>
          </w:p>
          <w:p>
            <w:pPr>
              <w:spacing w:after="0"/>
            </w:pPr>
            <w:r>
              <w:rPr>
                <w:rFonts w:ascii="Consolas" w:cs="Consolas" w:eastAsia="Consolas" w:hAnsi="Consolas"/>
                <w:color w:val="0B2447"/>
                <w:sz w:val="17"/>
                <w:szCs w:val="17"/>
              </w:rPr>
              <w:t xml:space="preserve">    Audit Logs      Dashboard      Security</w:t>
            </w:r>
          </w:p>
          <w:p>
            <w:pPr>
              <w:spacing w:after="0"/>
            </w:pPr>
            <w:r>
              <w:rPr>
                <w:rFonts w:ascii="Consolas" w:cs="Consolas" w:eastAsia="Consolas" w:hAnsi="Consolas"/>
                <w:color w:val="0B2447"/>
                <w:sz w:val="17"/>
                <w:szCs w:val="17"/>
              </w:rPr>
              <w:t xml:space="preserve">         |              |              |</w:t>
            </w:r>
          </w:p>
          <w:p>
            <w:pPr>
              <w:spacing w:after="0"/>
            </w:pPr>
            <w:r>
              <w:rPr>
                <w:rFonts w:ascii="Consolas" w:cs="Consolas" w:eastAsia="Consolas" w:hAnsi="Consolas"/>
                <w:color w:val="0B2447"/>
                <w:sz w:val="17"/>
                <w:szCs w:val="17"/>
              </w:rPr>
              <w:t xml:space="preserve">         v              v              v</w:t>
            </w:r>
          </w:p>
          <w:p>
            <w:pPr>
              <w:spacing w:after="0"/>
            </w:pPr>
            <w:r>
              <w:rPr>
                <w:rFonts w:ascii="Consolas" w:cs="Consolas" w:eastAsia="Consolas" w:hAnsi="Consolas"/>
                <w:color w:val="0B2447"/>
                <w:sz w:val="17"/>
                <w:szCs w:val="17"/>
              </w:rPr>
              <w:t xml:space="preserve">    Audit APIs     Metrics APIs    Alert APIs</w:t>
            </w:r>
          </w:p>
        </w:tc>
      </w:tr>
    </w:tbl>
    <w:p>
      <w:pPr>
        <w:pStyle w:val="Heading3"/>
        <w:spacing w:after="100" w:before="220"/>
      </w:pPr>
      <w:r>
        <w:rPr>
          <w:rFonts w:ascii="Calibri" w:cs="Calibri" w:eastAsia="Calibri" w:hAnsi="Calibri"/>
          <w:b/>
          <w:bCs/>
          <w:color w:val="1A1A1A"/>
          <w:sz w:val="22"/>
          <w:szCs w:val="22"/>
        </w:rPr>
        <w:t xml:space="preserve">Application Shell &amp; Pages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00"/>
      </w:tblGrid>
      <w:tr>
        <w:trPr>
          <w:tblHeader/>
        </w:trPr>
        <w:tc>
          <w:tcPr>
            <w:tcW w:type="dxa" w:w="24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Page</w:t>
            </w:r>
          </w:p>
        </w:tc>
        <w:tc>
          <w:tcPr>
            <w:tcW w:type="dxa" w:w="6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Purpose</w:t>
            </w:r>
          </w:p>
        </w:tc>
      </w:tr>
      <w:tr>
        <w:tc>
          <w:tcPr>
            <w:tcW w:type="dxa" w:w="2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Dashboard</w:t>
            </w:r>
          </w:p>
        </w:tc>
        <w:tc>
          <w:tcPr>
            <w:tcW w:type="dxa" w:w="6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 counts, recent activity, integrity/security overview</w:t>
            </w:r>
          </w:p>
        </w:tc>
      </w:tr>
      <w:tr>
        <w:tc>
          <w:tcPr>
            <w:tcW w:type="dxa" w:w="2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 Logs</w:t>
            </w:r>
          </w:p>
        </w:tc>
        <w:tc>
          <w:tcPr>
            <w:tcW w:type="dxa" w:w="6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Search, filter, paginate, and investigate events</w:t>
            </w:r>
          </w:p>
        </w:tc>
      </w:tr>
      <w:tr>
        <w:tc>
          <w:tcPr>
            <w:tcW w:type="dxa" w:w="2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 Detail Drawer</w:t>
            </w:r>
          </w:p>
        </w:tc>
        <w:tc>
          <w:tcPr>
            <w:tcW w:type="dxa" w:w="6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Full event metadata, actor, resource, before/after, hashes</w:t>
            </w:r>
          </w:p>
        </w:tc>
      </w:tr>
      <w:tr>
        <w:tc>
          <w:tcPr>
            <w:tcW w:type="dxa" w:w="2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Integrity Monitoring</w:t>
            </w:r>
          </w:p>
        </w:tc>
        <w:tc>
          <w:tcPr>
            <w:tcW w:type="dxa" w:w="6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Run /verify, show valid/invalid state, surface broken chain position</w:t>
            </w:r>
          </w:p>
        </w:tc>
      </w:tr>
      <w:tr>
        <w:tc>
          <w:tcPr>
            <w:tcW w:type="dxa" w:w="2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Security Alerts</w:t>
            </w:r>
          </w:p>
        </w:tc>
        <w:tc>
          <w:tcPr>
            <w:tcW w:type="dxa" w:w="6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CloudWatch/SNS-related security and integrity alerts</w:t>
            </w:r>
          </w:p>
        </w:tc>
      </w:tr>
      <w:tr>
        <w:tc>
          <w:tcPr>
            <w:tcW w:type="dxa" w:w="2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Settings</w:t>
            </w:r>
          </w:p>
        </w:tc>
        <w:tc>
          <w:tcPr>
            <w:tcW w:type="dxa" w:w="6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Current user, role, and system/security/audit configuration</w:t>
            </w:r>
          </w:p>
        </w:tc>
      </w:tr>
    </w:tbl>
    <w:p>
      <w:pPr>
        <w:pStyle w:val="Heading3"/>
        <w:spacing w:after="100" w:before="220"/>
      </w:pPr>
      <w:r>
        <w:rPr>
          <w:rFonts w:ascii="Calibri" w:cs="Calibri" w:eastAsia="Calibri" w:hAnsi="Calibri"/>
          <w:b/>
          <w:bCs/>
          <w:color w:val="1A1A1A"/>
          <w:sz w:val="22"/>
          <w:szCs w:val="22"/>
        </w:rPr>
        <w:t xml:space="preserve">Audit Investigation Flow</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0"/>
            </w:pPr>
            <w:r>
              <w:rPr>
                <w:rFonts w:ascii="Consolas" w:cs="Consolas" w:eastAsia="Consolas" w:hAnsi="Consolas"/>
                <w:color w:val="0B2447"/>
                <w:sz w:val="17"/>
                <w:szCs w:val="17"/>
              </w:rPr>
              <w:t xml:space="preserve">  Audit Logs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Click event</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Detail Drawer</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Metadata</w:t>
            </w:r>
          </w:p>
          <w:p>
            <w:pPr>
              <w:spacing w:after="0"/>
            </w:pPr>
            <w:r>
              <w:rPr>
                <w:rFonts w:ascii="Consolas" w:cs="Consolas" w:eastAsia="Consolas" w:hAnsi="Consolas"/>
                <w:color w:val="0B2447"/>
                <w:sz w:val="17"/>
                <w:szCs w:val="17"/>
              </w:rPr>
              <w:t xml:space="preserve">             +-- Actor</w:t>
            </w:r>
          </w:p>
          <w:p>
            <w:pPr>
              <w:spacing w:after="0"/>
            </w:pPr>
            <w:r>
              <w:rPr>
                <w:rFonts w:ascii="Consolas" w:cs="Consolas" w:eastAsia="Consolas" w:hAnsi="Consolas"/>
                <w:color w:val="0B2447"/>
                <w:sz w:val="17"/>
                <w:szCs w:val="17"/>
              </w:rPr>
              <w:t xml:space="preserve">             +-- Resource</w:t>
            </w:r>
          </w:p>
          <w:p>
            <w:pPr>
              <w:spacing w:after="0"/>
            </w:pPr>
            <w:r>
              <w:rPr>
                <w:rFonts w:ascii="Consolas" w:cs="Consolas" w:eastAsia="Consolas" w:hAnsi="Consolas"/>
                <w:color w:val="0B2447"/>
                <w:sz w:val="17"/>
                <w:szCs w:val="17"/>
              </w:rPr>
              <w:t xml:space="preserve">             +-- Before / After</w:t>
            </w:r>
          </w:p>
          <w:p>
            <w:pPr>
              <w:spacing w:after="0"/>
            </w:pPr>
            <w:r>
              <w:rPr>
                <w:rFonts w:ascii="Consolas" w:cs="Consolas" w:eastAsia="Consolas" w:hAnsi="Consolas"/>
                <w:color w:val="0B2447"/>
                <w:sz w:val="17"/>
                <w:szCs w:val="17"/>
              </w:rPr>
              <w:t xml:space="preserve">             +-- Hash</w:t>
            </w:r>
          </w:p>
          <w:p>
            <w:pPr>
              <w:spacing w:after="0"/>
            </w:pPr>
            <w:r>
              <w:rPr>
                <w:rFonts w:ascii="Consolas" w:cs="Consolas" w:eastAsia="Consolas" w:hAnsi="Consolas"/>
                <w:color w:val="0B2447"/>
                <w:sz w:val="17"/>
                <w:szCs w:val="17"/>
              </w:rPr>
              <w:t xml:space="preserve">             +-- Integrity Status</w:t>
            </w:r>
          </w:p>
        </w:tc>
      </w:tr>
    </w:tbl>
    <w:p>
      <w:pPr>
        <w:pStyle w:val="Heading3"/>
        <w:spacing w:after="100" w:before="220"/>
      </w:pPr>
      <w:r>
        <w:rPr>
          <w:rFonts w:ascii="Calibri" w:cs="Calibri" w:eastAsia="Calibri" w:hAnsi="Calibri"/>
          <w:b/>
          <w:bCs/>
          <w:color w:val="1A1A1A"/>
          <w:sz w:val="22"/>
          <w:szCs w:val="22"/>
        </w:rPr>
        <w:t xml:space="preserve">RBAC in the UI</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0"/>
            </w:pPr>
            <w:r>
              <w:rPr>
                <w:rFonts w:ascii="Consolas" w:cs="Consolas" w:eastAsia="Consolas" w:hAnsi="Consolas"/>
                <w:color w:val="0B2447"/>
                <w:sz w:val="17"/>
                <w:szCs w:val="17"/>
              </w:rPr>
              <w:t xml:space="preserve">  USER</w:t>
            </w:r>
          </w:p>
          <w:p>
            <w:pPr>
              <w:spacing w:after="0"/>
            </w:pPr>
            <w:r>
              <w:rPr>
                <w:rFonts w:ascii="Consolas" w:cs="Consolas" w:eastAsia="Consolas" w:hAnsi="Consolas"/>
                <w:color w:val="0B2447"/>
                <w:sz w:val="17"/>
                <w:szCs w:val="17"/>
              </w:rPr>
              <w:t xml:space="preserve">   +-- Dashboard</w:t>
            </w:r>
          </w:p>
          <w:p>
            <w:pPr>
              <w:spacing w:after="0"/>
            </w:pPr>
            <w:r>
              <w:rPr>
                <w:rFonts w:ascii="Consolas" w:cs="Consolas" w:eastAsia="Consolas" w:hAnsi="Consolas"/>
                <w:color w:val="0B2447"/>
                <w:sz w:val="17"/>
                <w:szCs w:val="17"/>
              </w:rPr>
              <w:t xml:space="preserve">   +-- Audit Logs</w:t>
            </w:r>
          </w:p>
          <w:p>
            <w:pPr>
              <w:spacing w:after="0"/>
            </w:pPr>
            <w:r>
              <w:rPr>
                <w:rFonts w:ascii="Consolas" w:cs="Consolas" w:eastAsia="Consolas" w:hAnsi="Consolas"/>
                <w:color w:val="0B2447"/>
                <w:sz w:val="17"/>
                <w:szCs w:val="17"/>
              </w:rPr>
              <w:t xml:space="preserve">         +-- View events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AUDITOR</w:t>
            </w:r>
          </w:p>
          <w:p>
            <w:pPr>
              <w:spacing w:after="0"/>
            </w:pPr>
            <w:r>
              <w:rPr>
                <w:rFonts w:ascii="Consolas" w:cs="Consolas" w:eastAsia="Consolas" w:hAnsi="Consolas"/>
                <w:color w:val="0B2447"/>
                <w:sz w:val="17"/>
                <w:szCs w:val="17"/>
              </w:rPr>
              <w:t xml:space="preserve">   +-- Dashboard</w:t>
            </w:r>
          </w:p>
          <w:p>
            <w:pPr>
              <w:spacing w:after="0"/>
            </w:pPr>
            <w:r>
              <w:rPr>
                <w:rFonts w:ascii="Consolas" w:cs="Consolas" w:eastAsia="Consolas" w:hAnsi="Consolas"/>
                <w:color w:val="0B2447"/>
                <w:sz w:val="17"/>
                <w:szCs w:val="17"/>
              </w:rPr>
              <w:t xml:space="preserve">   +-- Audit Logs</w:t>
            </w:r>
          </w:p>
          <w:p>
            <w:pPr>
              <w:spacing w:after="0"/>
            </w:pPr>
            <w:r>
              <w:rPr>
                <w:rFonts w:ascii="Consolas" w:cs="Consolas" w:eastAsia="Consolas" w:hAnsi="Consolas"/>
                <w:color w:val="0B2447"/>
                <w:sz w:val="17"/>
                <w:szCs w:val="17"/>
              </w:rPr>
              <w:t xml:space="preserve">   +-- Integrity Monitoring</w:t>
            </w:r>
          </w:p>
          <w:p>
            <w:pPr>
              <w:spacing w:after="0"/>
            </w:pPr>
            <w:r>
              <w:rPr>
                <w:rFonts w:ascii="Consolas" w:cs="Consolas" w:eastAsia="Consolas" w:hAnsi="Consolas"/>
                <w:color w:val="0B2447"/>
                <w:sz w:val="17"/>
                <w:szCs w:val="17"/>
              </w:rPr>
              <w:t xml:space="preserve">   +-- Security Alerts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ADMIN</w:t>
            </w:r>
          </w:p>
          <w:p>
            <w:pPr>
              <w:spacing w:after="0"/>
            </w:pPr>
            <w:r>
              <w:rPr>
                <w:rFonts w:ascii="Consolas" w:cs="Consolas" w:eastAsia="Consolas" w:hAnsi="Consolas"/>
                <w:color w:val="0B2447"/>
                <w:sz w:val="17"/>
                <w:szCs w:val="17"/>
              </w:rPr>
              <w:t xml:space="preserve">   +-- Everything above</w:t>
            </w:r>
          </w:p>
          <w:p>
            <w:pPr>
              <w:spacing w:after="0"/>
            </w:pPr>
            <w:r>
              <w:rPr>
                <w:rFonts w:ascii="Consolas" w:cs="Consolas" w:eastAsia="Consolas" w:hAnsi="Consolas"/>
                <w:color w:val="0B2447"/>
                <w:sz w:val="17"/>
                <w:szCs w:val="17"/>
              </w:rPr>
              <w:t xml:space="preserve">   +-- Settings / administration</w:t>
            </w:r>
          </w:p>
        </w:tc>
      </w:tr>
    </w:tbl>
    <w:p>
      <w:pPr>
        <w:spacing w:after="160" w:line="276"/>
      </w:pPr>
      <w:r>
        <w:rPr>
          <w:rFonts w:ascii="Calibri" w:cs="Calibri" w:eastAsia="Calibri" w:hAnsi="Calibri"/>
          <w:color w:val="1A1A1A"/>
          <w:sz w:val="21"/>
          <w:szCs w:val="21"/>
        </w:rPr>
        <w:t xml:space="preserve">As established in Section 12.3, this UI-level navigation gating is a usability layer only — the corresponding APIs independently reject any call from a caller lacking the required role, regardless of what the UI would have allowed the user to click.</w:t>
      </w:r>
    </w:p>
    <w:p>
      <w:pPr>
        <w:pStyle w:val="Heading3"/>
        <w:spacing w:after="100" w:before="220"/>
      </w:pPr>
      <w:r>
        <w:rPr>
          <w:rFonts w:ascii="Calibri" w:cs="Calibri" w:eastAsia="Calibri" w:hAnsi="Calibri"/>
          <w:b/>
          <w:bCs/>
          <w:color w:val="1A1A1A"/>
          <w:sz w:val="22"/>
          <w:szCs w:val="22"/>
        </w:rPr>
        <w:t xml:space="preserve">Required Page-Level Behavior</w:t>
      </w:r>
    </w:p>
    <w:p>
      <w:pPr>
        <w:pStyle w:val="ListParagraph"/>
        <w:numPr>
          <w:ilvl w:val="0"/>
          <w:numId w:val="2"/>
        </w:numPr>
        <w:spacing w:after="60" w:line="264"/>
      </w:pPr>
      <w:r>
        <w:rPr>
          <w:rFonts w:ascii="Calibri" w:cs="Calibri" w:eastAsia="Calibri" w:hAnsi="Calibri"/>
          <w:color w:val="1A1A1A"/>
          <w:sz w:val="21"/>
          <w:szCs w:val="21"/>
        </w:rPr>
        <w:t xml:space="preserve">Loading / skeleton states for all data-fetching views.</w:t>
      </w:r>
    </w:p>
    <w:p>
      <w:pPr>
        <w:pStyle w:val="ListParagraph"/>
        <w:numPr>
          <w:ilvl w:val="0"/>
          <w:numId w:val="2"/>
        </w:numPr>
        <w:spacing w:after="60" w:line="264"/>
      </w:pPr>
      <w:r>
        <w:rPr>
          <w:rFonts w:ascii="Calibri" w:cs="Calibri" w:eastAsia="Calibri" w:hAnsi="Calibri"/>
          <w:color w:val="1A1A1A"/>
          <w:sz w:val="21"/>
          <w:szCs w:val="21"/>
        </w:rPr>
        <w:t xml:space="preserve">Explicit API error states with actionable messaging (not silent failure).</w:t>
      </w:r>
    </w:p>
    <w:p>
      <w:pPr>
        <w:pStyle w:val="ListParagraph"/>
        <w:numPr>
          <w:ilvl w:val="0"/>
          <w:numId w:val="2"/>
        </w:numPr>
        <w:spacing w:after="60" w:line="264"/>
      </w:pPr>
      <w:r>
        <w:rPr>
          <w:rFonts w:ascii="Calibri" w:cs="Calibri" w:eastAsia="Calibri" w:hAnsi="Calibri"/>
          <w:color w:val="1A1A1A"/>
          <w:sz w:val="21"/>
          <w:szCs w:val="21"/>
        </w:rPr>
        <w:t xml:space="preserve">Empty states for zero-result searches and new/unused sections.</w:t>
      </w:r>
    </w:p>
    <w:p>
      <w:pPr>
        <w:pStyle w:val="ListParagraph"/>
        <w:numPr>
          <w:ilvl w:val="0"/>
          <w:numId w:val="2"/>
        </w:numPr>
        <w:spacing w:after="60" w:line="264"/>
      </w:pPr>
      <w:r>
        <w:rPr>
          <w:rFonts w:ascii="Calibri" w:cs="Calibri" w:eastAsia="Calibri" w:hAnsi="Calibri"/>
          <w:color w:val="1A1A1A"/>
          <w:sz w:val="21"/>
          <w:szCs w:val="21"/>
        </w:rPr>
        <w:t xml:space="preserve">Toast notifications for asynchronous action outcomes.</w:t>
      </w:r>
    </w:p>
    <w:p>
      <w:pPr>
        <w:pStyle w:val="ListParagraph"/>
        <w:numPr>
          <w:ilvl w:val="0"/>
          <w:numId w:val="2"/>
        </w:numPr>
        <w:spacing w:after="60" w:line="264"/>
      </w:pPr>
      <w:r>
        <w:rPr>
          <w:rFonts w:ascii="Calibri" w:cs="Calibri" w:eastAsia="Calibri" w:hAnsi="Calibri"/>
          <w:color w:val="1A1A1A"/>
          <w:sz w:val="21"/>
          <w:szCs w:val="21"/>
        </w:rPr>
        <w:t xml:space="preserve">Confirmation dialogs before any destructive or sensitive action (e.g., triggering a full-chain re-verification, changing a user's role).</w:t>
      </w:r>
    </w:p>
    <w:p>
      <w:pPr>
        <w:pStyle w:val="ListParagraph"/>
        <w:numPr>
          <w:ilvl w:val="0"/>
          <w:numId w:val="2"/>
        </w:numPr>
        <w:spacing w:after="60" w:line="264"/>
      </w:pPr>
      <w:r>
        <w:rPr>
          <w:rFonts w:ascii="Calibri" w:cs="Calibri" w:eastAsia="Calibri" w:hAnsi="Calibri"/>
          <w:color w:val="1A1A1A"/>
          <w:sz w:val="21"/>
          <w:szCs w:val="21"/>
        </w:rPr>
        <w:t xml:space="preserve">Responsive layout across desktop and tablet form factors used by operations/security staff.</w:t>
      </w:r>
    </w:p>
    <w:p>
      <w:pPr>
        <w:pStyle w:val="ListParagraph"/>
        <w:numPr>
          <w:ilvl w:val="0"/>
          <w:numId w:val="2"/>
        </w:numPr>
        <w:spacing w:after="60" w:line="264"/>
      </w:pPr>
      <w:r>
        <w:rPr>
          <w:rFonts w:ascii="Calibri" w:cs="Calibri" w:eastAsia="Calibri" w:hAnsi="Calibri"/>
          <w:color w:val="1A1A1A"/>
          <w:sz w:val="21"/>
          <w:szCs w:val="21"/>
        </w:rPr>
        <w:t xml:space="preserve">Accessibility (WCAG 2.1 AA) — keyboard navigation, screen-reader labeling, sufficient color contrast, especially for integrity-status indicators.</w:t>
      </w:r>
    </w:p>
    <w:p>
      <w:pPr>
        <w:pStyle w:val="ListParagraph"/>
        <w:numPr>
          <w:ilvl w:val="0"/>
          <w:numId w:val="2"/>
        </w:numPr>
        <w:spacing w:after="60" w:line="264"/>
      </w:pPr>
      <w:r>
        <w:rPr>
          <w:rFonts w:ascii="Calibri" w:cs="Calibri" w:eastAsia="Calibri" w:hAnsi="Calibri"/>
          <w:color w:val="1A1A1A"/>
          <w:sz w:val="21"/>
          <w:szCs w:val="21"/>
        </w:rPr>
        <w:t xml:space="preserve">Consistent typography, spacing, and design tokens across all pages.</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14.  End-to-End Flows</w:t>
      </w:r>
    </w:p>
    <w:p>
      <w:pPr>
        <w:pStyle w:val="Heading2"/>
        <w:spacing w:after="140" w:before="320"/>
      </w:pPr>
      <w:r>
        <w:rPr>
          <w:rFonts w:ascii="Calibri" w:cs="Calibri" w:eastAsia="Calibri" w:hAnsi="Calibri"/>
          <w:b/>
          <w:bCs/>
          <w:color w:val="2E5395"/>
          <w:sz w:val="24"/>
          <w:szCs w:val="24"/>
        </w:rPr>
        <w:t xml:space="preserve">14.1  Normal Event Flow</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14.1 — Normal Event Lifecycle</w:t>
            </w:r>
          </w:p>
          <w:p>
            <w:pPr>
              <w:spacing w:after="0"/>
            </w:pPr>
            <w:r>
              <w:rPr>
                <w:rFonts w:ascii="Consolas" w:cs="Consolas" w:eastAsia="Consolas" w:hAnsi="Consolas"/>
                <w:color w:val="0B2447"/>
                <w:sz w:val="17"/>
                <w:szCs w:val="17"/>
              </w:rPr>
              <w:t xml:space="preserve">  Business Service</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Audit API</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Authentication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Validation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SQS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Consumer</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Redis lock / idempotency check</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Hash generation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MongoDB</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Available for investigation</w:t>
            </w:r>
          </w:p>
        </w:tc>
      </w:tr>
    </w:tbl>
    <w:p>
      <w:pPr>
        <w:pStyle w:val="Heading2"/>
        <w:spacing w:after="140" w:before="320"/>
      </w:pPr>
      <w:r>
        <w:rPr>
          <w:rFonts w:ascii="Calibri" w:cs="Calibri" w:eastAsia="Calibri" w:hAnsi="Calibri"/>
          <w:b/>
          <w:bCs/>
          <w:color w:val="2E5395"/>
          <w:sz w:val="24"/>
          <w:szCs w:val="24"/>
        </w:rPr>
        <w:t xml:space="preserve">14.2  Integrity Failure Flow</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14.2 — Integrity Failure Lifecycle</w:t>
            </w:r>
          </w:p>
          <w:p>
            <w:pPr>
              <w:spacing w:after="0"/>
            </w:pPr>
            <w:r>
              <w:rPr>
                <w:rFonts w:ascii="Consolas" w:cs="Consolas" w:eastAsia="Consolas" w:hAnsi="Consolas"/>
                <w:color w:val="0B2447"/>
                <w:sz w:val="17"/>
                <w:szCs w:val="17"/>
              </w:rPr>
              <w:t xml:space="preserve">  Auditor</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/verify</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Hash chain verification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Mismatch</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 Mark INVALID</w:t>
            </w:r>
          </w:p>
          <w:p>
            <w:pPr>
              <w:spacing w:after="0"/>
            </w:pPr>
            <w:r>
              <w:rPr>
                <w:rFonts w:ascii="Consolas" w:cs="Consolas" w:eastAsia="Consolas" w:hAnsi="Consolas"/>
                <w:color w:val="0B2447"/>
                <w:sz w:val="17"/>
                <w:szCs w:val="17"/>
              </w:rPr>
              <w:t xml:space="preserve">     +-- Identify broken event</w:t>
            </w:r>
          </w:p>
          <w:p>
            <w:pPr>
              <w:spacing w:after="0"/>
            </w:pPr>
            <w:r>
              <w:rPr>
                <w:rFonts w:ascii="Consolas" w:cs="Consolas" w:eastAsia="Consolas" w:hAnsi="Consolas"/>
                <w:color w:val="0B2447"/>
                <w:sz w:val="17"/>
                <w:szCs w:val="17"/>
              </w:rPr>
              <w:t xml:space="preserve">     +-- Record verification result</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SNS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Security notification</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CloudWatch / Security monitoring</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15.  Non-Functional Requirements</w:t>
      </w:r>
    </w:p>
    <w:p>
      <w:pPr>
        <w:pStyle w:val="Heading2"/>
        <w:spacing w:after="140" w:before="320"/>
      </w:pPr>
      <w:r>
        <w:rPr>
          <w:rFonts w:ascii="Calibri" w:cs="Calibri" w:eastAsia="Calibri" w:hAnsi="Calibri"/>
          <w:b/>
          <w:bCs/>
          <w:color w:val="2E5395"/>
          <w:sz w:val="24"/>
          <w:szCs w:val="24"/>
        </w:rPr>
        <w:t xml:space="preserve">15.1  Scalability</w:t>
      </w:r>
    </w:p>
    <w:p>
      <w:pPr>
        <w:pStyle w:val="Heading3"/>
        <w:spacing w:after="100" w:before="220"/>
      </w:pPr>
      <w:r>
        <w:rPr>
          <w:rFonts w:ascii="Calibri" w:cs="Calibri" w:eastAsia="Calibri" w:hAnsi="Calibri"/>
          <w:b/>
          <w:bCs/>
          <w:color w:val="1A1A1A"/>
          <w:sz w:val="22"/>
          <w:szCs w:val="22"/>
        </w:rPr>
        <w:t xml:space="preserve">API Tier</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0"/>
            </w:pPr>
            <w:r>
              <w:rPr>
                <w:rFonts w:ascii="Consolas" w:cs="Consolas" w:eastAsia="Consolas" w:hAnsi="Consolas"/>
                <w:color w:val="0B2447"/>
                <w:sz w:val="17"/>
                <w:szCs w:val="17"/>
              </w:rPr>
              <w:t xml:space="preserve">                Load Balancer</w:t>
            </w:r>
          </w:p>
          <w:p>
            <w:pPr>
              <w:spacing w:after="0"/>
            </w:pPr>
            <w:r>
              <w:rPr>
                <w:rFonts w:ascii="Consolas" w:cs="Consolas" w:eastAsia="Consolas" w:hAnsi="Consolas"/>
                <w:color w:val="0B2447"/>
                <w:sz w:val="17"/>
                <w:szCs w:val="17"/>
              </w:rPr>
              <w:t xml:space="preserve">               /      |      \</w:t>
            </w:r>
          </w:p>
          <w:p>
            <w:pPr>
              <w:spacing w:after="0"/>
            </w:pPr>
            <w:r>
              <w:rPr>
                <w:rFonts w:ascii="Consolas" w:cs="Consolas" w:eastAsia="Consolas" w:hAnsi="Consolas"/>
                <w:color w:val="0B2447"/>
                <w:sz w:val="17"/>
                <w:szCs w:val="17"/>
              </w:rPr>
              <w:t xml:space="preserve">             API     API     API   (stateless, horizontally scaled)</w:t>
            </w:r>
          </w:p>
        </w:tc>
      </w:tr>
    </w:tbl>
    <w:p>
      <w:pPr>
        <w:spacing w:after="160" w:line="276"/>
      </w:pPr>
      <w:r>
        <w:rPr>
          <w:rFonts w:ascii="Calibri" w:cs="Calibri" w:eastAsia="Calibri" w:hAnsi="Calibri"/>
          <w:color w:val="1A1A1A"/>
          <w:sz w:val="21"/>
          <w:szCs w:val="21"/>
        </w:rPr>
        <w:t xml:space="preserve">Audit API instances are fully stateless and scale horizontally behind the load balancer based on CPU/connection metrics, with no session affinity requirement.</w:t>
      </w:r>
    </w:p>
    <w:p>
      <w:pPr>
        <w:pStyle w:val="Heading3"/>
        <w:spacing w:after="100" w:before="220"/>
      </w:pPr>
      <w:r>
        <w:rPr>
          <w:rFonts w:ascii="Calibri" w:cs="Calibri" w:eastAsia="Calibri" w:hAnsi="Calibri"/>
          <w:b/>
          <w:bCs/>
          <w:color w:val="1A1A1A"/>
          <w:sz w:val="22"/>
          <w:szCs w:val="22"/>
        </w:rPr>
        <w:t xml:space="preserve">Consumer Tier</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0"/>
            </w:pPr>
            <w:r>
              <w:rPr>
                <w:rFonts w:ascii="Consolas" w:cs="Consolas" w:eastAsia="Consolas" w:hAnsi="Consolas"/>
                <w:color w:val="0B2447"/>
                <w:sz w:val="17"/>
                <w:szCs w:val="17"/>
              </w:rPr>
              <w:t xml:space="preserve">                    SQS</w:t>
            </w:r>
          </w:p>
          <w:p>
            <w:pPr>
              <w:spacing w:after="0"/>
            </w:pPr>
            <w:r>
              <w:rPr>
                <w:rFonts w:ascii="Consolas" w:cs="Consolas" w:eastAsia="Consolas" w:hAnsi="Consolas"/>
                <w:color w:val="0B2447"/>
                <w:sz w:val="17"/>
                <w:szCs w:val="17"/>
              </w:rPr>
              <w:t xml:space="preserve">               /     |     \</w:t>
            </w:r>
          </w:p>
          <w:p>
            <w:pPr>
              <w:spacing w:after="0"/>
            </w:pPr>
            <w:r>
              <w:rPr>
                <w:rFonts w:ascii="Consolas" w:cs="Consolas" w:eastAsia="Consolas" w:hAnsi="Consolas"/>
                <w:color w:val="0B2447"/>
                <w:sz w:val="17"/>
                <w:szCs w:val="17"/>
              </w:rPr>
              <w:t xml:space="preserve">          Consumer Consumer Consumer   (scaled on queue depth)</w:t>
            </w:r>
          </w:p>
        </w:tc>
      </w:tr>
    </w:tbl>
    <w:p>
      <w:pPr>
        <w:spacing w:after="160" w:line="276"/>
      </w:pPr>
      <w:r>
        <w:rPr>
          <w:rFonts w:ascii="Calibri" w:cs="Calibri" w:eastAsia="Calibri" w:hAnsi="Calibri"/>
          <w:color w:val="1A1A1A"/>
          <w:sz w:val="21"/>
          <w:szCs w:val="21"/>
        </w:rPr>
        <w:t xml:space="preserve">Consumer instances scale out based on SQS queue depth / age-of-oldest-message, allowing the platform to absorb bursty ingestion (e.g., market open, batch jobs, incident-driven activity spikes) without manual intervention.</w:t>
      </w:r>
    </w:p>
    <w:p>
      <w:pPr>
        <w:pStyle w:val="Heading3"/>
        <w:spacing w:after="100" w:before="220"/>
      </w:pPr>
      <w:r>
        <w:rPr>
          <w:rFonts w:ascii="Calibri" w:cs="Calibri" w:eastAsia="Calibri" w:hAnsi="Calibri"/>
          <w:b/>
          <w:bCs/>
          <w:color w:val="1A1A1A"/>
          <w:sz w:val="22"/>
          <w:szCs w:val="22"/>
        </w:rPr>
        <w:t xml:space="preserve">Storage Tier</w:t>
      </w:r>
    </w:p>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0"/>
            </w:pPr>
            <w:r>
              <w:rPr>
                <w:rFonts w:ascii="Consolas" w:cs="Consolas" w:eastAsia="Consolas" w:hAnsi="Consolas"/>
                <w:color w:val="0B2447"/>
                <w:sz w:val="17"/>
                <w:szCs w:val="17"/>
              </w:rPr>
              <w:t xml:space="preserve">  Indexes</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Replica Set</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w:t>
            </w:r>
          </w:p>
          <w:p>
            <w:pPr>
              <w:spacing w:after="0"/>
            </w:pPr>
            <w:r>
              <w:rPr>
                <w:rFonts w:ascii="Consolas" w:cs="Consolas" w:eastAsia="Consolas" w:hAnsi="Consolas"/>
                <w:color w:val="0B2447"/>
                <w:sz w:val="17"/>
                <w:szCs w:val="17"/>
              </w:rPr>
              <w:t xml:space="preserve">  Sharding (future / large-scale option — not required for MVP)</w:t>
            </w:r>
          </w:p>
        </w:tc>
      </w:tr>
    </w:tbl>
    <w:p>
      <w:pPr>
        <w:spacing w:after="160" w:line="276"/>
      </w:pPr>
      <w:r>
        <w:rPr>
          <w:rFonts w:ascii="Calibri" w:cs="Calibri" w:eastAsia="Calibri" w:hAnsi="Calibri"/>
          <w:color w:val="1A1A1A"/>
          <w:sz w:val="21"/>
          <w:szCs w:val="21"/>
        </w:rPr>
        <w:t xml:space="preserve">MongoDB scales first through indexing discipline and a replica set for read distribution and high availability; sharding is documented as an available future lever once volume or working-set size exceeds single-replica-set capacity, but is explicitly not required for initial production launch.</w:t>
      </w:r>
    </w:p>
    <w:p>
      <w:pPr>
        <w:pStyle w:val="Heading2"/>
        <w:spacing w:after="140" w:before="320"/>
      </w:pPr>
      <w:r>
        <w:rPr>
          <w:rFonts w:ascii="Calibri" w:cs="Calibri" w:eastAsia="Calibri" w:hAnsi="Calibri"/>
          <w:b/>
          <w:bCs/>
          <w:color w:val="2E5395"/>
          <w:sz w:val="24"/>
          <w:szCs w:val="24"/>
        </w:rPr>
        <w:t xml:space="preserve">15.2  Reliability &amp; Failure Modes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400"/>
      </w:tblGrid>
      <w:tr>
        <w:trPr>
          <w:tblHeader/>
        </w:trPr>
        <w:tc>
          <w:tcPr>
            <w:tcW w:type="dxa" w:w="2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Failure Scenario</w:t>
            </w:r>
          </w:p>
        </w:tc>
        <w:tc>
          <w:tcPr>
            <w:tcW w:type="dxa" w:w="64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System Behavior</w:t>
            </w:r>
          </w:p>
        </w:tc>
      </w:tr>
      <w:tr>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API instance crashes</w:t>
            </w:r>
          </w:p>
        </w:tc>
        <w:tc>
          <w:tcPr>
            <w:tcW w:type="dxa" w:w="6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 impact on already-persisted events; load balancer routes around the failed instance; in-flight requests may be retried by the caller.</w:t>
            </w:r>
          </w:p>
        </w:tc>
      </w:tr>
      <w:tr>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Consumer instance crashes</w:t>
            </w:r>
          </w:p>
        </w:tc>
        <w:tc>
          <w:tcPr>
            <w:tcW w:type="dxa" w:w="6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The in-flight SQS message becomes visible again after its visibility timeout and is picked up by another consumer instance — no message loss.</w:t>
            </w:r>
          </w:p>
        </w:tc>
      </w:tr>
      <w:tr>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MongoDB temporarily unavailable</w:t>
            </w:r>
          </w:p>
        </w:tc>
        <w:tc>
          <w:tcPr>
            <w:tcW w:type="dxa" w:w="6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SQS retains messages; consumer retries with backoff; processing resumes automatically once MongoDB is restored (see Section 6).</w:t>
            </w:r>
          </w:p>
        </w:tc>
      </w:tr>
      <w:tr>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Duplicate message delivery</w:t>
            </w:r>
          </w:p>
        </w:tc>
        <w:tc>
          <w:tcPr>
            <w:tcW w:type="dxa" w:w="6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Idempotency check on event ID: already-processed events are ignored rather than re-inserted (see below).</w:t>
            </w:r>
          </w:p>
        </w:tc>
      </w:tr>
      <w:tr>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Partial infrastructure failure</w:t>
            </w:r>
          </w:p>
        </w:tc>
        <w:tc>
          <w:tcPr>
            <w:tcW w:type="dxa" w:w="6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Multiple service instances, a durable queue, and database replication together provide resilience against any single-node failure.</w:t>
            </w:r>
          </w:p>
        </w:tc>
      </w:tr>
    </w:tbl>
    <w:tbl>
      <w:tblPr>
        <w:tblW w:type="pct" w:w="100%"/>
        <w:tblBorders>
          <w:top w:val="single" w:color="2E5395" w:sz="6"/>
          <w:left w:val="single" w:color="2E5395" w:sz="6"/>
          <w:bottom w:val="single" w:color="2E5395" w:sz="6"/>
          <w:right w:val="single" w:color="2E5395" w:sz="6"/>
          <w:insideH w:val="single" w:color="2E5395" w:sz="6"/>
          <w:insideV w:val="single" w:color="2E5395" w:sz="6"/>
        </w:tblBorders>
      </w:tblPr>
      <w:tblGrid>
        <w:gridCol w:w="100"/>
      </w:tblGrid>
      <w:tr>
        <w:tc>
          <w:tcPr>
            <w:shd w:fill="F5F8FD" w:val="clear"/>
            <w:tcMar>
              <w:top w:type="dxa" w:w="180"/>
              <w:left w:type="dxa" w:w="220"/>
              <w:bottom w:type="dxa" w:w="180"/>
              <w:right w:type="dxa" w:w="220"/>
            </w:tcMar>
          </w:tcPr>
          <w:p>
            <w:pPr>
              <w:spacing w:after="100"/>
            </w:pPr>
            <w:r>
              <w:rPr>
                <w:rFonts w:ascii="Calibri" w:cs="Calibri" w:eastAsia="Calibri" w:hAnsi="Calibri"/>
                <w:b/>
                <w:bCs/>
                <w:color w:val="1F3864"/>
                <w:sz w:val="19"/>
                <w:szCs w:val="19"/>
              </w:rPr>
              <w:t xml:space="preserve">Figure 15.1 — Idempotent Processing Decision</w:t>
            </w:r>
          </w:p>
          <w:p>
            <w:pPr>
              <w:spacing w:after="0"/>
            </w:pPr>
            <w:r>
              <w:rPr>
                <w:rFonts w:ascii="Consolas" w:cs="Consolas" w:eastAsia="Consolas" w:hAnsi="Consolas"/>
                <w:color w:val="0B2447"/>
                <w:sz w:val="17"/>
                <w:szCs w:val="17"/>
              </w:rPr>
              <w:t xml:space="preserve">  Event ID already processed?</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w:t>
            </w:r>
          </w:p>
          <w:p>
            <w:pPr>
              <w:spacing w:after="0"/>
            </w:pPr>
            <w:r>
              <w:rPr>
                <w:rFonts w:ascii="Consolas" w:cs="Consolas" w:eastAsia="Consolas" w:hAnsi="Consolas"/>
                <w:color w:val="0B2447"/>
                <w:sz w:val="17"/>
                <w:szCs w:val="17"/>
              </w:rPr>
              <w:t xml:space="preserve">      v       v</w:t>
            </w:r>
          </w:p>
          <w:p>
            <w:pPr>
              <w:spacing w:after="0"/>
            </w:pPr>
            <w:r>
              <w:rPr>
                <w:rFonts w:ascii="Consolas" w:cs="Consolas" w:eastAsia="Consolas" w:hAnsi="Consolas"/>
                <w:color w:val="0B2447"/>
                <w:sz w:val="17"/>
                <w:szCs w:val="17"/>
              </w:rPr>
              <w:t xml:space="preserve">     YES      NO</w:t>
            </w:r>
          </w:p>
          <w:p>
            <w:pPr>
              <w:spacing w:after="0"/>
            </w:pPr>
            <w:r>
              <w:rPr>
                <w:rFonts w:ascii="Consolas" w:cs="Consolas" w:eastAsia="Consolas" w:hAnsi="Consolas"/>
                <w:color w:val="0B2447"/>
                <w:sz w:val="17"/>
                <w:szCs w:val="17"/>
              </w:rPr>
              <w:t xml:space="preserve">      |        |</w:t>
            </w:r>
          </w:p>
          <w:p>
            <w:pPr>
              <w:spacing w:after="0"/>
            </w:pPr>
            <w:r>
              <w:rPr>
                <w:rFonts w:ascii="Consolas" w:cs="Consolas" w:eastAsia="Consolas" w:hAnsi="Consolas"/>
                <w:color w:val="0B2447"/>
                <w:sz w:val="17"/>
                <w:szCs w:val="17"/>
              </w:rPr>
              <w:t xml:space="preserve">   ignore   process</w:t>
            </w:r>
          </w:p>
        </w:tc>
      </w:tr>
    </w:tbl>
    <w:p>
      <w:pPr>
        <w:pStyle w:val="Heading2"/>
        <w:spacing w:after="140" w:before="320"/>
      </w:pPr>
      <w:r>
        <w:rPr>
          <w:rFonts w:ascii="Calibri" w:cs="Calibri" w:eastAsia="Calibri" w:hAnsi="Calibri"/>
          <w:b/>
          <w:bCs/>
          <w:color w:val="2E5395"/>
          <w:sz w:val="24"/>
          <w:szCs w:val="24"/>
        </w:rPr>
        <w:t xml:space="preserve">15.3  Availability &amp; Disaster Recovery</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00"/>
      </w:tblGrid>
      <w:tr>
        <w:trPr>
          <w:tblHeader/>
        </w:trPr>
        <w:tc>
          <w:tcPr>
            <w:tcW w:type="dxa" w:w="34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Parameter</w:t>
            </w:r>
          </w:p>
        </w:tc>
        <w:tc>
          <w:tcPr>
            <w:tcW w:type="dxa" w:w="5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Target (indicative — to be ratified with SRE/Business)</w:t>
            </w:r>
          </w:p>
        </w:tc>
      </w:tr>
      <w:tr>
        <w:tc>
          <w:tcPr>
            <w:tcW w:type="dxa" w:w="3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API tier availability SLO</w:t>
            </w:r>
          </w:p>
        </w:tc>
        <w:tc>
          <w:tcPr>
            <w:tcW w:type="dxa" w:w="5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99.9% monthly</w:t>
            </w:r>
          </w:p>
        </w:tc>
      </w:tr>
      <w:tr>
        <w:tc>
          <w:tcPr>
            <w:tcW w:type="dxa" w:w="3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End-to-end ingestion durability</w:t>
            </w:r>
          </w:p>
        </w:tc>
        <w:tc>
          <w:tcPr>
            <w:tcW w:type="dxa" w:w="5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 data loss for successfully acknowledged (HTTP 202) events</w:t>
            </w:r>
          </w:p>
        </w:tc>
      </w:tr>
      <w:tr>
        <w:tc>
          <w:tcPr>
            <w:tcW w:type="dxa" w:w="3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Recovery Point Objective (RPO)</w:t>
            </w:r>
          </w:p>
        </w:tc>
        <w:tc>
          <w:tcPr>
            <w:tcW w:type="dxa" w:w="5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&lt; 5 minutes for the operational store (replica set + point-in-time backups)</w:t>
            </w:r>
          </w:p>
        </w:tc>
      </w:tr>
      <w:tr>
        <w:tc>
          <w:tcPr>
            <w:tcW w:type="dxa" w:w="3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Recovery Time Objective (RTO)</w:t>
            </w:r>
          </w:p>
        </w:tc>
        <w:tc>
          <w:tcPr>
            <w:tcW w:type="dxa" w:w="5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&lt; 1 hour for full service restoration in a regional failover scenario</w:t>
            </w:r>
          </w:p>
        </w:tc>
      </w:tr>
      <w:tr>
        <w:tc>
          <w:tcPr>
            <w:tcW w:type="dxa" w:w="3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Backup cadence</w:t>
            </w:r>
          </w:p>
        </w:tc>
        <w:tc>
          <w:tcPr>
            <w:tcW w:type="dxa" w:w="5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Continuous oplog-based backup plus daily full snapshot, retained per data retention policy</w:t>
            </w:r>
          </w:p>
        </w:tc>
      </w:tr>
      <w:tr>
        <w:tc>
          <w:tcPr>
            <w:tcW w:type="dxa" w:w="3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DR posture (Phase 1)</w:t>
            </w:r>
          </w:p>
        </w:tc>
        <w:tc>
          <w:tcPr>
            <w:tcW w:type="dxa" w:w="5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Single-region active with a warm standby in a second region; documented runbook for controlled failover</w:t>
            </w:r>
          </w:p>
        </w:tc>
      </w:tr>
    </w:tbl>
    <w:p>
      <w:pPr>
        <w:pStyle w:val="Heading2"/>
        <w:spacing w:after="140" w:before="320"/>
      </w:pPr>
      <w:r>
        <w:rPr>
          <w:rFonts w:ascii="Calibri" w:cs="Calibri" w:eastAsia="Calibri" w:hAnsi="Calibri"/>
          <w:b/>
          <w:bCs/>
          <w:color w:val="2E5395"/>
          <w:sz w:val="24"/>
          <w:szCs w:val="24"/>
        </w:rPr>
        <w:t xml:space="preserve">15.4  Performance</w:t>
      </w:r>
    </w:p>
    <w:p>
      <w:pPr>
        <w:pStyle w:val="ListParagraph"/>
        <w:numPr>
          <w:ilvl w:val="0"/>
          <w:numId w:val="2"/>
        </w:numPr>
        <w:spacing w:after="60" w:line="264"/>
      </w:pPr>
      <w:r>
        <w:rPr>
          <w:rFonts w:ascii="Calibri" w:cs="Calibri" w:eastAsia="Calibri" w:hAnsi="Calibri"/>
          <w:color w:val="1A1A1A"/>
          <w:sz w:val="21"/>
          <w:szCs w:val="21"/>
        </w:rPr>
        <w:t xml:space="preserve">API ingestion acknowledgment (HTTP 202, post-publish-to-SQS) targets sub-100ms p95 under normal load, independent of downstream MongoDB latency.</w:t>
      </w:r>
    </w:p>
    <w:p>
      <w:pPr>
        <w:pStyle w:val="ListParagraph"/>
        <w:numPr>
          <w:ilvl w:val="0"/>
          <w:numId w:val="2"/>
        </w:numPr>
        <w:spacing w:after="60" w:line="264"/>
      </w:pPr>
      <w:r>
        <w:rPr>
          <w:rFonts w:ascii="Calibri" w:cs="Calibri" w:eastAsia="Calibri" w:hAnsi="Calibri"/>
          <w:color w:val="1A1A1A"/>
          <w:sz w:val="21"/>
          <w:szCs w:val="21"/>
        </w:rPr>
        <w:t xml:space="preserve">Consumer end-to-end processing latency (SQS receipt to MongoDB-queryable) targets low single-digit seconds p95 under normal load, with graceful, bounded degradation under backlog.</w:t>
      </w:r>
    </w:p>
    <w:p>
      <w:pPr>
        <w:pStyle w:val="ListParagraph"/>
        <w:numPr>
          <w:ilvl w:val="0"/>
          <w:numId w:val="2"/>
        </w:numPr>
        <w:spacing w:after="60" w:line="264"/>
      </w:pPr>
      <w:r>
        <w:rPr>
          <w:rFonts w:ascii="Calibri" w:cs="Calibri" w:eastAsia="Calibri" w:hAnsi="Calibri"/>
          <w:color w:val="1A1A1A"/>
          <w:sz w:val="21"/>
          <w:szCs w:val="21"/>
        </w:rPr>
        <w:t xml:space="preserve">Query API targets sub-second p95 response for indexed single-field and compound-index queries over the hot data window.</w:t>
      </w:r>
    </w:p>
    <w:p>
      <w:pPr>
        <w:pStyle w:val="ListParagraph"/>
        <w:numPr>
          <w:ilvl w:val="0"/>
          <w:numId w:val="2"/>
        </w:numPr>
        <w:spacing w:after="60" w:line="264"/>
      </w:pPr>
      <w:r>
        <w:rPr>
          <w:rFonts w:ascii="Calibri" w:cs="Calibri" w:eastAsia="Calibri" w:hAnsi="Calibri"/>
          <w:color w:val="1A1A1A"/>
          <w:sz w:val="21"/>
          <w:szCs w:val="21"/>
        </w:rPr>
        <w:t xml:space="preserve">Capacity is validated through load testing prior to go-live, sized to the union of expected peak volumes across all onboarded consumer systems plus an agreed headroom margin.</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16.  Compliance Design</w:t>
      </w:r>
    </w:p>
    <w:p>
      <w:pPr>
        <w:spacing w:after="160" w:line="276"/>
      </w:pPr>
      <w:r>
        <w:rPr>
          <w:rFonts w:ascii="Calibri" w:cs="Calibri" w:eastAsia="Calibri" w:hAnsi="Calibri"/>
          <w:color w:val="1A1A1A"/>
          <w:sz w:val="21"/>
          <w:szCs w:val="21"/>
        </w:rPr>
        <w:t xml:space="preserve">The platform's data model is built directly around the canonical audit-investigation questions that regulators and internal audit functions require: who, what, when, where, why, what changed, and whether the record was tampered with.</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3000"/>
        <w:gridCol w:w="4900"/>
      </w:tblGrid>
      <w:tr>
        <w:trPr>
          <w:tblHeader/>
        </w:trPr>
        <w:tc>
          <w:tcPr>
            <w:tcW w:type="dxa" w:w="14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Dimension</w:t>
            </w:r>
          </w:p>
        </w:tc>
        <w:tc>
          <w:tcPr>
            <w:tcW w:type="dxa" w:w="30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Captured Fields</w:t>
            </w:r>
          </w:p>
        </w:tc>
        <w:tc>
          <w:tcPr>
            <w:tcW w:type="dxa" w:w="4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Compliance Purpose</w:t>
            </w:r>
          </w:p>
        </w:tc>
      </w:tr>
      <w:tr>
        <w:tc>
          <w:tcPr>
            <w:tcW w:type="dxa" w:w="1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Who</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actorId, actorRole</w:t>
            </w:r>
          </w:p>
        </w:tc>
        <w:tc>
          <w:tcPr>
            <w:tcW w:type="dxa" w:w="4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Attribution of the action to an identifiable, role-scoped actor</w:t>
            </w:r>
          </w:p>
        </w:tc>
      </w:tr>
      <w:tr>
        <w:tc>
          <w:tcPr>
            <w:tcW w:type="dxa" w:w="1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What</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action, resourceType, resourceId</w:t>
            </w:r>
          </w:p>
        </w:tc>
        <w:tc>
          <w:tcPr>
            <w:tcW w:type="dxa" w:w="4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Precise identification of the operation and target</w:t>
            </w:r>
          </w:p>
        </w:tc>
      </w:tr>
      <w:tr>
        <w:tc>
          <w:tcPr>
            <w:tcW w:type="dxa" w:w="1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When</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timestamp (server-assigned)</w:t>
            </w:r>
          </w:p>
        </w:tc>
        <w:tc>
          <w:tcPr>
            <w:tcW w:type="dxa" w:w="4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Non-repudiable, authoritative sequencing</w:t>
            </w:r>
          </w:p>
        </w:tc>
      </w:tr>
      <w:tr>
        <w:tc>
          <w:tcPr>
            <w:tcW w:type="dxa" w:w="1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Where</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sourceIp, device, userAgent</w:t>
            </w:r>
          </w:p>
        </w:tc>
        <w:tc>
          <w:tcPr>
            <w:tcW w:type="dxa" w:w="4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Contextual attribution supporting fraud/anomaly investigation</w:t>
            </w:r>
          </w:p>
        </w:tc>
      </w:tr>
      <w:tr>
        <w:tc>
          <w:tcPr>
            <w:tcW w:type="dxa" w:w="1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Why</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reason</w:t>
            </w:r>
          </w:p>
        </w:tc>
        <w:tc>
          <w:tcPr>
            <w:tcW w:type="dxa" w:w="4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Business justification, where applicable (e.g., manual corrections)</w:t>
            </w:r>
          </w:p>
        </w:tc>
      </w:tr>
      <w:tr>
        <w:tc>
          <w:tcPr>
            <w:tcW w:type="dxa" w:w="14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What changed</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before / after state</w:t>
            </w:r>
          </w:p>
        </w:tc>
        <w:tc>
          <w:tcPr>
            <w:tcW w:type="dxa" w:w="4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Precise change evidence for regulator or auditor review</w:t>
            </w:r>
          </w:p>
        </w:tc>
      </w:tr>
      <w:tr>
        <w:tc>
          <w:tcPr>
            <w:tcW w:type="dxa" w:w="14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Was it modified?</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eventHash, previousHash, verification status</w:t>
            </w:r>
          </w:p>
        </w:tc>
        <w:tc>
          <w:tcPr>
            <w:tcW w:type="dxa" w:w="4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Tamper evidence for the record itself</w:t>
            </w:r>
          </w:p>
        </w:tc>
      </w:tr>
    </w:tbl>
    <w:p>
      <w:pPr>
        <w:spacing w:after="160" w:line="276"/>
      </w:pPr>
      <w:r>
        <w:rPr>
          <w:rFonts w:ascii="Calibri" w:cs="Calibri" w:eastAsia="Calibri" w:hAnsi="Calibri"/>
          <w:color w:val="1A1A1A"/>
          <w:sz w:val="21"/>
          <w:szCs w:val="21"/>
        </w:rPr>
        <w:t xml:space="preserve">This gives an auditor or regulator a complete, self-contained investigation trail for any given action without needing to reconstruct context from the source application's own (potentially mutable) logs.</w:t>
      </w:r>
    </w:p>
    <w:p>
      <w:pPr>
        <w:pStyle w:val="Heading2"/>
        <w:spacing w:after="140" w:before="320"/>
      </w:pPr>
      <w:r>
        <w:rPr>
          <w:rFonts w:ascii="Calibri" w:cs="Calibri" w:eastAsia="Calibri" w:hAnsi="Calibri"/>
          <w:b/>
          <w:bCs/>
          <w:color w:val="2E5395"/>
          <w:sz w:val="24"/>
          <w:szCs w:val="24"/>
        </w:rPr>
        <w:t xml:space="preserve">Indicative Regulatory Mapping</w:t>
      </w:r>
    </w:p>
    <w:p>
      <w:pPr>
        <w:spacing w:after="160" w:line="276"/>
      </w:pPr>
      <w:r>
        <w:rPr>
          <w:rFonts w:ascii="Calibri" w:cs="Calibri" w:eastAsia="Calibri" w:hAnsi="Calibri"/>
          <w:color w:val="1A1A1A"/>
          <w:sz w:val="21"/>
          <w:szCs w:val="21"/>
        </w:rPr>
        <w:t xml:space="preserve">The following mapping is indicative and must be validated with Legal/Compliance during detailed design; it illustrates how platform capabilities support common regulatory themes rather than asserting formal certification.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2600"/>
        <w:gridCol w:w="4000"/>
      </w:tblGrid>
      <w:tr>
        <w:trPr>
          <w:tblHeader/>
        </w:trPr>
        <w:tc>
          <w:tcPr>
            <w:tcW w:type="dxa" w:w="27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Regulatory Theme</w:t>
            </w:r>
          </w:p>
        </w:tc>
        <w:tc>
          <w:tcPr>
            <w:tcW w:type="dxa" w:w="2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Representative Regime</w:t>
            </w:r>
          </w:p>
        </w:tc>
        <w:tc>
          <w:tcPr>
            <w:tcW w:type="dxa" w:w="40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Platform Capability</w:t>
            </w:r>
          </w:p>
        </w:tc>
      </w:tr>
      <w:tr>
        <w:tc>
          <w:tcPr>
            <w:tcW w:type="dxa" w:w="2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Financial reporting internal controls, change traceability</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SOX (Sarbanes-Oxley)</w:t>
            </w:r>
          </w:p>
        </w:tc>
        <w:tc>
          <w:tcPr>
            <w:tcW w:type="dxa" w:w="4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Immutable, tamper-evident record of who changed what financial/trading data and when</w:t>
            </w:r>
          </w:p>
        </w:tc>
      </w:tr>
      <w:tr>
        <w:tc>
          <w:tcPr>
            <w:tcW w:type="dxa" w:w="2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Personal data access and processing traceability</w:t>
            </w:r>
          </w:p>
        </w:tc>
        <w:tc>
          <w:tcPr>
            <w:tcW w:type="dxa" w:w="2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GDPR / equivalent data-protection law</w:t>
            </w:r>
          </w:p>
        </w:tc>
        <w:tc>
          <w:tcPr>
            <w:tcW w:type="dxa" w:w="4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Actor/resource/action capture supports data-subject access and breach-investigation obligations; retention policy supports data-minimization requirements</w:t>
            </w:r>
          </w:p>
        </w:tc>
      </w:tr>
      <w:tr>
        <w:tc>
          <w:tcPr>
            <w:tcW w:type="dxa" w:w="2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Cardholder data environment access logging, log integrity, retention</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PCI-DSS (logging &amp; monitoring requirements)</w:t>
            </w:r>
          </w:p>
        </w:tc>
        <w:tc>
          <w:tcPr>
            <w:tcW w:type="dxa" w:w="4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Tamper-evident hash chain, RBAC-restricted access, defined retention and archival</w:t>
            </w:r>
          </w:p>
        </w:tc>
      </w:tr>
      <w:tr>
        <w:tc>
          <w:tcPr>
            <w:tcW w:type="dxa" w:w="2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Market conduct / trade surveillance recordkeeping</w:t>
            </w:r>
          </w:p>
        </w:tc>
        <w:tc>
          <w:tcPr>
            <w:tcW w:type="dxa" w:w="2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Applicable trading/market-conduct rules</w:t>
            </w:r>
          </w:p>
        </w:tc>
        <w:tc>
          <w:tcPr>
            <w:tcW w:type="dxa" w:w="4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Before/after trade-state capture with immutable, verifiable history</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17.  Key Design Principles</w:t>
      </w:r>
    </w:p>
    <w:p>
      <w:pPr>
        <w:spacing w:after="160" w:line="276"/>
      </w:pPr>
      <w:r>
        <w:rPr>
          <w:rFonts w:ascii="Calibri" w:cs="Calibri" w:eastAsia="Calibri" w:hAnsi="Calibri"/>
          <w:color w:val="1A1A1A"/>
          <w:sz w:val="21"/>
          <w:szCs w:val="21"/>
        </w:rPr>
        <w:t xml:space="preserve">These ten principles summarize the architectural intent of the platform and should be used as a checklist when evaluating future changes or extensions for consistency with the original design.</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500"/>
        <w:gridCol w:w="2200"/>
        <w:gridCol w:w="6300"/>
      </w:tblGrid>
      <w:tr>
        <w:trPr>
          <w:tblHeader/>
        </w:trPr>
        <w:tc>
          <w:tcPr>
            <w:tcW w:type="dxa" w:w="5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w:t>
            </w:r>
          </w:p>
        </w:tc>
        <w:tc>
          <w:tcPr>
            <w:tcW w:type="dxa" w:w="22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Principle</w:t>
            </w:r>
          </w:p>
        </w:tc>
        <w:tc>
          <w:tcPr>
            <w:tcW w:type="dxa" w:w="63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What It Means in Practice</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Asynchronous</w:t>
            </w:r>
          </w:p>
        </w:tc>
        <w:tc>
          <w:tcPr>
            <w:tcW w:type="dxa" w:w="6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The business transaction never waits on audit persistence.</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2</w:t>
            </w:r>
          </w:p>
        </w:tc>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Durable</w:t>
            </w:r>
          </w:p>
        </w:tc>
        <w:tc>
          <w:tcPr>
            <w:tcW w:type="dxa" w:w="6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SQS prevents events from being lost during downstream failures.</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3</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Idempotent</w:t>
            </w:r>
          </w:p>
        </w:tc>
        <w:tc>
          <w:tcPr>
            <w:tcW w:type="dxa" w:w="6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Duplicate delivery must not create duplicate audit records.</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4</w:t>
            </w:r>
          </w:p>
        </w:tc>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Tamper-evident</w:t>
            </w:r>
          </w:p>
        </w:tc>
        <w:tc>
          <w:tcPr>
            <w:tcW w:type="dxa" w:w="6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Hash chaining detects modification, deletion, or reordering.</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Immutable</w:t>
            </w:r>
          </w:p>
        </w:tc>
        <w:tc>
          <w:tcPr>
            <w:tcW w:type="dxa" w:w="6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Once persisted, audit records are not casually updateable or deletable.</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6</w:t>
            </w:r>
          </w:p>
        </w:tc>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Least privilege</w:t>
            </w:r>
          </w:p>
        </w:tc>
        <w:tc>
          <w:tcPr>
            <w:tcW w:type="dxa" w:w="6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Users, auditors, and administrators have clearly distinct capabilities.</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7</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Observable</w:t>
            </w:r>
          </w:p>
        </w:tc>
        <w:tc>
          <w:tcPr>
            <w:tcW w:type="dxa" w:w="6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CloudWatch provides operational and security visibility across every tier.</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8</w:t>
            </w:r>
          </w:p>
        </w:tc>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Alertable</w:t>
            </w:r>
          </w:p>
        </w:tc>
        <w:tc>
          <w:tcPr>
            <w:tcW w:type="dxa" w:w="6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Critical integrity/security failures are routed through SNS in real time.</w:t>
            </w:r>
          </w:p>
        </w:tc>
      </w:tr>
      <w:tr>
        <w:tc>
          <w:tcPr>
            <w:tcW w:type="dxa" w:w="5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9</w:t>
            </w:r>
          </w:p>
        </w:tc>
        <w:tc>
          <w:tcPr>
            <w:tcW w:type="dxa" w:w="22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Searchable</w:t>
            </w:r>
          </w:p>
        </w:tc>
        <w:tc>
          <w:tcPr>
            <w:tcW w:type="dxa" w:w="6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MongoDB indexing lets investigators find relevant events quickly.</w:t>
            </w:r>
          </w:p>
        </w:tc>
      </w:tr>
      <w:tr>
        <w:tc>
          <w:tcPr>
            <w:tcW w:type="dxa" w:w="5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10</w:t>
            </w:r>
          </w:p>
        </w:tc>
        <w:tc>
          <w:tcPr>
            <w:tcW w:type="dxa" w:w="22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Archivable</w:t>
            </w:r>
          </w:p>
        </w:tc>
        <w:tc>
          <w:tcPr>
            <w:tcW w:type="dxa" w:w="6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S3 provides cost-effective, durable, and optionally WORM-compliant long-term retention.</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18.  Technology Stack</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900"/>
        <w:gridCol w:w="4100"/>
      </w:tblGrid>
      <w:tr>
        <w:trPr>
          <w:tblHeader/>
        </w:trPr>
        <w:tc>
          <w:tcPr>
            <w:tcW w:type="dxa" w:w="23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Layer</w:t>
            </w:r>
          </w:p>
        </w:tc>
        <w:tc>
          <w:tcPr>
            <w:tcW w:type="dxa" w:w="29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Technology</w:t>
            </w:r>
          </w:p>
        </w:tc>
        <w:tc>
          <w:tcPr>
            <w:tcW w:type="dxa" w:w="41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Rationale</w:t>
            </w:r>
          </w:p>
        </w:tc>
      </w:tr>
      <w:tr>
        <w:tc>
          <w:tcPr>
            <w:tcW w:type="dxa" w:w="2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Frontend</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React</w:t>
            </w:r>
          </w:p>
        </w:tc>
        <w:tc>
          <w:tcPr>
            <w:tcW w:type="dxa" w:w="4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Component-driven SPA well suited to the dashboard/investigation UX pattern</w:t>
            </w:r>
          </w:p>
        </w:tc>
      </w:tr>
      <w:tr>
        <w:tc>
          <w:tcPr>
            <w:tcW w:type="dxa" w:w="2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API</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Spring Boot / Spring WebFlux</w:t>
            </w:r>
          </w:p>
        </w:tc>
        <w:tc>
          <w:tcPr>
            <w:tcW w:type="dxa" w:w="4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Reactive, non-blocking I/O suited to high-throughput, low-latency ingestion</w:t>
            </w:r>
          </w:p>
        </w:tc>
      </w:tr>
      <w:tr>
        <w:tc>
          <w:tcPr>
            <w:tcW w:type="dxa" w:w="2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Authentication</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JWT / enterprise IAM/IdP</w:t>
            </w:r>
          </w:p>
        </w:tc>
        <w:tc>
          <w:tcPr>
            <w:tcW w:type="dxa" w:w="4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Centralized identity, no platform-local credential store</w:t>
            </w:r>
          </w:p>
        </w:tc>
      </w:tr>
      <w:tr>
        <w:tc>
          <w:tcPr>
            <w:tcW w:type="dxa" w:w="2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Queue</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AWS SQS</w:t>
            </w:r>
          </w:p>
        </w:tc>
        <w:tc>
          <w:tcPr>
            <w:tcW w:type="dxa" w:w="4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Managed, durable, horizontally scalable decoupling layer</w:t>
            </w:r>
          </w:p>
        </w:tc>
      </w:tr>
      <w:tr>
        <w:tc>
          <w:tcPr>
            <w:tcW w:type="dxa" w:w="2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Event notification</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AWS SNS</w:t>
            </w:r>
          </w:p>
        </w:tc>
        <w:tc>
          <w:tcPr>
            <w:tcW w:type="dxa" w:w="4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Managed pub/sub fan-out for security alerting</w:t>
            </w:r>
          </w:p>
        </w:tc>
      </w:tr>
      <w:tr>
        <w:tc>
          <w:tcPr>
            <w:tcW w:type="dxa" w:w="2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Operational database</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MongoDB</w:t>
            </w:r>
          </w:p>
        </w:tc>
        <w:tc>
          <w:tcPr>
            <w:tcW w:type="dxa" w:w="4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Flexible document model suited to varied event payloads; strong secondary-index support</w:t>
            </w:r>
          </w:p>
        </w:tc>
      </w:tr>
      <w:tr>
        <w:tc>
          <w:tcPr>
            <w:tcW w:type="dxa" w:w="2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Distributed locking / coordination</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Redis</w:t>
            </w:r>
          </w:p>
        </w:tc>
        <w:tc>
          <w:tcPr>
            <w:tcW w:type="dxa" w:w="4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Low-latency coordination primitive for consumer concurrency control</w:t>
            </w:r>
          </w:p>
        </w:tc>
      </w:tr>
      <w:tr>
        <w:tc>
          <w:tcPr>
            <w:tcW w:type="dxa" w:w="2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Archive</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AWS S3 (+ Object Lock)</w:t>
            </w:r>
          </w:p>
        </w:tc>
        <w:tc>
          <w:tcPr>
            <w:tcW w:type="dxa" w:w="4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Durable, cost-effective, optionally WORM-compliant long-term storage</w:t>
            </w:r>
          </w:p>
        </w:tc>
      </w:tr>
      <w:tr>
        <w:tc>
          <w:tcPr>
            <w:tcW w:type="dxa" w:w="2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Monitoring</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AWS CloudWatch</w:t>
            </w:r>
          </w:p>
        </w:tc>
        <w:tc>
          <w:tcPr>
            <w:tcW w:type="dxa" w:w="4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Native AWS-integrated metrics, logs, and alarms</w:t>
            </w:r>
          </w:p>
        </w:tc>
      </w:tr>
      <w:tr>
        <w:tc>
          <w:tcPr>
            <w:tcW w:type="dxa" w:w="2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Containerization</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Docker</w:t>
            </w:r>
          </w:p>
        </w:tc>
        <w:tc>
          <w:tcPr>
            <w:tcW w:type="dxa" w:w="4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Consistent build/runtime artifact across environments</w:t>
            </w:r>
          </w:p>
        </w:tc>
      </w:tr>
      <w:tr>
        <w:tc>
          <w:tcPr>
            <w:tcW w:type="dxa" w:w="2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API style</w:t>
            </w:r>
          </w:p>
        </w:tc>
        <w:tc>
          <w:tcPr>
            <w:tcW w:type="dxa" w:w="29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REST</w:t>
            </w:r>
          </w:p>
        </w:tc>
        <w:tc>
          <w:tcPr>
            <w:tcW w:type="dxa" w:w="4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Broad client compatibility across polyglot consuming systems</w:t>
            </w:r>
          </w:p>
        </w:tc>
      </w:tr>
      <w:tr>
        <w:tc>
          <w:tcPr>
            <w:tcW w:type="dxa" w:w="2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Integrity mechanism</w:t>
            </w:r>
          </w:p>
        </w:tc>
        <w:tc>
          <w:tcPr>
            <w:tcW w:type="dxa" w:w="29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SHA-256 hash chain</w:t>
            </w:r>
          </w:p>
        </w:tc>
        <w:tc>
          <w:tcPr>
            <w:tcW w:type="dxa" w:w="4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Industry-standard cryptographic hash providing strong tamper evidence</w:t>
            </w:r>
          </w:p>
        </w:tc>
      </w:tr>
    </w:tbl>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All managed AWS services are provisioned via Infrastructure as Code (e.g., Terraform/CloudFormation) and deployed through the enterprise CI/CD pipeline — no manual console provisioning for production resources.</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19.  Deployment &amp; Environment Topology</w:t>
      </w:r>
    </w:p>
    <w:p>
      <w:pPr>
        <w:spacing w:after="160" w:line="276"/>
      </w:pPr>
      <w:r>
        <w:rPr>
          <w:rFonts w:ascii="Calibri" w:cs="Calibri" w:eastAsia="Calibri" w:hAnsi="Calibri"/>
          <w:color w:val="1A1A1A"/>
          <w:sz w:val="21"/>
          <w:szCs w:val="21"/>
        </w:rPr>
        <w:t xml:space="preserve">The platform follows the organization's standard environment progression: Development, System Integration Testing (SIT), User Acceptance Testing/Staging, and Production. Each non-production environment mirrors production topology at reduced scale to catch environment-specific defects before release.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3800"/>
        <w:gridCol w:w="3700"/>
      </w:tblGrid>
      <w:tr>
        <w:trPr>
          <w:tblHeader/>
        </w:trPr>
        <w:tc>
          <w:tcPr>
            <w:tcW w:type="dxa" w:w="18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Environment</w:t>
            </w:r>
          </w:p>
        </w:tc>
        <w:tc>
          <w:tcPr>
            <w:tcW w:type="dxa" w:w="38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Purpose</w:t>
            </w:r>
          </w:p>
        </w:tc>
        <w:tc>
          <w:tcPr>
            <w:tcW w:type="dxa" w:w="37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Notable Differences from Production</w:t>
            </w:r>
          </w:p>
        </w:tc>
      </w:tr>
      <w:tr>
        <w:tc>
          <w:tcPr>
            <w:tcW w:type="dxa" w:w="1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Development</w:t>
            </w:r>
          </w:p>
        </w:tc>
        <w:tc>
          <w:tcPr>
            <w:tcW w:type="dxa" w:w="3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Individual/team feature development and unit testing</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Single-instance services; synthetic/anonymized data only</w:t>
            </w:r>
          </w:p>
        </w:tc>
      </w:tr>
      <w:tr>
        <w:tc>
          <w:tcPr>
            <w:tcW w:type="dxa" w:w="1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SIT</w:t>
            </w:r>
          </w:p>
        </w:tc>
        <w:tc>
          <w:tcPr>
            <w:tcW w:type="dxa" w:w="3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Integration testing across services and with consuming-system stubs</w:t>
            </w:r>
          </w:p>
        </w:tc>
        <w:tc>
          <w:tcPr>
            <w:tcW w:type="dxa" w:w="3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Reduced instance counts; shared test IdP realm</w:t>
            </w:r>
          </w:p>
        </w:tc>
      </w:tr>
      <w:tr>
        <w:tc>
          <w:tcPr>
            <w:tcW w:type="dxa" w:w="1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Staging / UAT</w:t>
            </w:r>
          </w:p>
        </w:tc>
        <w:tc>
          <w:tcPr>
            <w:tcW w:type="dxa" w:w="3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Pre-production validation, performance testing, DR drills</w:t>
            </w:r>
          </w:p>
        </w:tc>
        <w:tc>
          <w:tcPr>
            <w:tcW w:type="dxa" w:w="3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Production-equivalent topology; anonymized production-shaped data</w:t>
            </w:r>
          </w:p>
        </w:tc>
      </w:tr>
      <w:tr>
        <w:tc>
          <w:tcPr>
            <w:tcW w:type="dxa" w:w="1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Production</w:t>
            </w:r>
          </w:p>
        </w:tc>
        <w:tc>
          <w:tcPr>
            <w:tcW w:type="dxa" w:w="3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Live service for all onboarded consuming systems</w:t>
            </w:r>
          </w:p>
        </w:tc>
        <w:tc>
          <w:tcPr>
            <w:tcW w:type="dxa" w:w="3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Full HA topology, production IdP, full monitoring/alerting</w:t>
            </w:r>
          </w:p>
        </w:tc>
      </w:tr>
    </w:tbl>
    <w:p>
      <w:pPr>
        <w:pStyle w:val="Heading3"/>
        <w:spacing w:after="100" w:before="220"/>
      </w:pPr>
      <w:r>
        <w:rPr>
          <w:rFonts w:ascii="Calibri" w:cs="Calibri" w:eastAsia="Calibri" w:hAnsi="Calibri"/>
          <w:b/>
          <w:bCs/>
          <w:color w:val="1A1A1A"/>
          <w:sz w:val="22"/>
          <w:szCs w:val="22"/>
        </w:rPr>
        <w:t xml:space="preserve">Deployment Model</w:t>
      </w:r>
    </w:p>
    <w:p>
      <w:pPr>
        <w:pStyle w:val="ListParagraph"/>
        <w:numPr>
          <w:ilvl w:val="0"/>
          <w:numId w:val="2"/>
        </w:numPr>
        <w:spacing w:after="60" w:line="264"/>
      </w:pPr>
      <w:r>
        <w:rPr>
          <w:rFonts w:ascii="Calibri" w:cs="Calibri" w:eastAsia="Calibri" w:hAnsi="Calibri"/>
          <w:color w:val="1A1A1A"/>
          <w:sz w:val="21"/>
          <w:szCs w:val="21"/>
        </w:rPr>
        <w:t xml:space="preserve">All services are packaged as Docker images and deployed via the enterprise container platform (e.g., ECS/EKS) with rolling, zero-downtime deployments.</w:t>
      </w:r>
    </w:p>
    <w:p>
      <w:pPr>
        <w:pStyle w:val="ListParagraph"/>
        <w:numPr>
          <w:ilvl w:val="0"/>
          <w:numId w:val="2"/>
        </w:numPr>
        <w:spacing w:after="60" w:line="264"/>
      </w:pPr>
      <w:r>
        <w:rPr>
          <w:rFonts w:ascii="Calibri" w:cs="Calibri" w:eastAsia="Calibri" w:hAnsi="Calibri"/>
          <w:color w:val="1A1A1A"/>
          <w:sz w:val="21"/>
          <w:szCs w:val="21"/>
        </w:rPr>
        <w:t xml:space="preserve">Blue/green or canary rollout is used for the Audit API tier to validate new versions against a small percentage of traffic before full cutover.</w:t>
      </w:r>
    </w:p>
    <w:p>
      <w:pPr>
        <w:pStyle w:val="ListParagraph"/>
        <w:numPr>
          <w:ilvl w:val="0"/>
          <w:numId w:val="2"/>
        </w:numPr>
        <w:spacing w:after="60" w:line="264"/>
      </w:pPr>
      <w:r>
        <w:rPr>
          <w:rFonts w:ascii="Calibri" w:cs="Calibri" w:eastAsia="Calibri" w:hAnsi="Calibri"/>
          <w:color w:val="1A1A1A"/>
          <w:sz w:val="21"/>
          <w:szCs w:val="21"/>
        </w:rPr>
        <w:t xml:space="preserve">Database schema/index changes are applied through backward-compatible, versioned migrations; the schemaVersion field on each document supports safe evolution of the event shape over time.</w:t>
      </w:r>
    </w:p>
    <w:p>
      <w:pPr>
        <w:pStyle w:val="ListParagraph"/>
        <w:numPr>
          <w:ilvl w:val="0"/>
          <w:numId w:val="2"/>
        </w:numPr>
        <w:spacing w:after="60" w:line="264"/>
      </w:pPr>
      <w:r>
        <w:rPr>
          <w:rFonts w:ascii="Calibri" w:cs="Calibri" w:eastAsia="Calibri" w:hAnsi="Calibri"/>
          <w:color w:val="1A1A1A"/>
          <w:sz w:val="21"/>
          <w:szCs w:val="21"/>
        </w:rPr>
        <w:t xml:space="preserve">Configuration (retention windows, alert thresholds, feature flags) is externalized per environment and never hard-coded in application artifacts.</w:t>
      </w:r>
    </w:p>
    <w:p>
      <w:pPr>
        <w:pStyle w:val="ListParagraph"/>
        <w:numPr>
          <w:ilvl w:val="0"/>
          <w:numId w:val="2"/>
        </w:numPr>
        <w:spacing w:after="60" w:line="264"/>
      </w:pPr>
      <w:r>
        <w:rPr>
          <w:rFonts w:ascii="Calibri" w:cs="Calibri" w:eastAsia="Calibri" w:hAnsi="Calibri"/>
          <w:color w:val="1A1A1A"/>
          <w:sz w:val="21"/>
          <w:szCs w:val="21"/>
        </w:rPr>
        <w:t xml:space="preserve">CI/CD pipeline stages: build → unit test → static/security scan (SAST, dependency/CVE scan) → container image scan → deploy to SIT → automated integration tests → promote to Staging → manual/automated gate → promote to Production.</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20.  Capacity Planning (Indicative)</w:t>
      </w:r>
    </w:p>
    <w:p>
      <w:pPr>
        <w:spacing w:after="160" w:line="276"/>
      </w:pPr>
      <w:r>
        <w:rPr>
          <w:rFonts w:ascii="Calibri" w:cs="Calibri" w:eastAsia="Calibri" w:hAnsi="Calibri"/>
          <w:color w:val="1A1A1A"/>
          <w:sz w:val="21"/>
          <w:szCs w:val="21"/>
        </w:rPr>
        <w:t xml:space="preserve">The figures below are placeholders to be refined once actual onboarding volumes from consuming systems are confirmed; they illustrate the sizing methodology rather than committing to specific numbers at this stage.</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600"/>
        <w:gridCol w:w="3000"/>
      </w:tblGrid>
      <w:tr>
        <w:trPr>
          <w:tblHeader/>
        </w:trPr>
        <w:tc>
          <w:tcPr>
            <w:tcW w:type="dxa" w:w="27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Parameter</w:t>
            </w:r>
          </w:p>
        </w:tc>
        <w:tc>
          <w:tcPr>
            <w:tcW w:type="dxa" w:w="3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Indicative Value</w:t>
            </w:r>
          </w:p>
        </w:tc>
        <w:tc>
          <w:tcPr>
            <w:tcW w:type="dxa" w:w="30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Basis</w:t>
            </w:r>
          </w:p>
        </w:tc>
      </w:tr>
      <w:tr>
        <w:tc>
          <w:tcPr>
            <w:tcW w:type="dxa" w:w="2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Average ingestion rate</w:t>
            </w:r>
          </w:p>
        </w:tc>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~500–2,000 events/sec sustained</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Aggregate estimate across initial consuming systems</w:t>
            </w:r>
          </w:p>
        </w:tc>
      </w:tr>
      <w:tr>
        <w:tc>
          <w:tcPr>
            <w:tcW w:type="dxa" w:w="2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Peak burst rate</w:t>
            </w:r>
          </w:p>
        </w:tc>
        <w:tc>
          <w:tcPr>
            <w:tcW w:type="dxa" w:w="3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5–10x sustained rate for short windows</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Market-open / batch-job / incident scenarios</w:t>
            </w:r>
          </w:p>
        </w:tc>
      </w:tr>
      <w:tr>
        <w:tc>
          <w:tcPr>
            <w:tcW w:type="dxa" w:w="2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Average event size</w:t>
            </w:r>
          </w:p>
        </w:tc>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1–3 KB</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Typical JSON payload including before/after snapshots</w:t>
            </w:r>
          </w:p>
        </w:tc>
      </w:tr>
      <w:tr>
        <w:tc>
          <w:tcPr>
            <w:tcW w:type="dxa" w:w="2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Hot-tier retention window</w:t>
            </w:r>
          </w:p>
        </w:tc>
        <w:tc>
          <w:tcPr>
            <w:tcW w:type="dxa" w:w="3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90 days</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Aligned with typical active-investigation window; configurable</w:t>
            </w:r>
          </w:p>
        </w:tc>
      </w:tr>
      <w:tr>
        <w:tc>
          <w:tcPr>
            <w:tcW w:type="dxa" w:w="27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Annual archive growth</w:t>
            </w:r>
          </w:p>
        </w:tc>
        <w:tc>
          <w:tcPr>
            <w:tcW w:type="dxa" w:w="3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Multi-TB range, workload-dependent</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Function of ingestion rate × average event size × retention years</w:t>
            </w:r>
          </w:p>
        </w:tc>
      </w:tr>
      <w:tr>
        <w:tc>
          <w:tcPr>
            <w:tcW w:type="dxa" w:w="27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Consumer fleet baseline</w:t>
            </w:r>
          </w:p>
        </w:tc>
        <w:tc>
          <w:tcPr>
            <w:tcW w:type="dxa" w:w="3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 instances sized to sustained rate, auto-scaled on queue depth for bursts</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SQS backlog-driven scaling policy</w:t>
            </w:r>
          </w:p>
        </w:tc>
      </w:tr>
    </w:tbl>
    <w:tbl>
      <w:tblPr>
        <w:tblW w:type="pct" w:w="100%"/>
        <w:tblBorders>
          <w:top w:val="single" w:color="2E5395" w:sz="4"/>
          <w:left w:val="single" w:color="2E5395" w:sz="4"/>
          <w:bottom w:val="single" w:color="2E5395" w:sz="4"/>
          <w:right w:val="single" w:color="2E5395" w:sz="4"/>
          <w:insideH w:val="single" w:color="2E5395" w:sz="4"/>
          <w:insideV w:val="single" w:color="2E5395" w:sz="4"/>
        </w:tblBorders>
      </w:tblPr>
      <w:tblGrid>
        <w:gridCol w:w="100"/>
      </w:tblGrid>
      <w:tr>
        <w:tc>
          <w:tcPr>
            <w:shd w:fill="EEF2F8" w:val="clear"/>
            <w:tcMar>
              <w:top w:type="dxa" w:w="120"/>
              <w:left w:type="dxa" w:w="160"/>
              <w:bottom w:type="dxa" w:w="120"/>
              <w:right w:type="dxa" w:w="160"/>
            </w:tcMar>
          </w:tcPr>
          <w:p>
            <w:pPr>
              <w:spacing w:after="40"/>
            </w:pPr>
            <w:r>
              <w:rPr>
                <w:rFonts w:ascii="Calibri" w:cs="Calibri" w:eastAsia="Calibri" w:hAnsi="Calibri"/>
                <w:b/>
                <w:bCs/>
                <w:color w:val="2E5395"/>
                <w:sz w:val="18"/>
                <w:szCs w:val="18"/>
              </w:rPr>
              <w:t xml:space="preserve">DESIGN NOTE</w:t>
            </w:r>
          </w:p>
          <w:p>
            <w:r>
              <w:rPr>
                <w:rFonts w:ascii="Calibri" w:cs="Calibri" w:eastAsia="Calibri" w:hAnsi="Calibri"/>
                <w:i/>
                <w:iCs/>
                <w:color w:val="1A1A1A"/>
                <w:sz w:val="20"/>
                <w:szCs w:val="20"/>
              </w:rPr>
              <w:t xml:space="preserve">A dedicated load-testing exercise against Staging, using production-shaped traffic profiles from each onboarding consumer, is a mandatory pre-go-live gate — see Section 23.</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21.  Risks &amp; Mitigations</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2600"/>
        <w:gridCol w:w="4000"/>
      </w:tblGrid>
      <w:tr>
        <w:trPr>
          <w:tblHeader/>
        </w:trPr>
        <w:tc>
          <w:tcPr>
            <w:tcW w:type="dxa" w:w="28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Risk</w:t>
            </w:r>
          </w:p>
        </w:tc>
        <w:tc>
          <w:tcPr>
            <w:tcW w:type="dxa" w:w="26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Impact</w:t>
            </w:r>
          </w:p>
        </w:tc>
        <w:tc>
          <w:tcPr>
            <w:tcW w:type="dxa" w:w="40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Mitigation</w:t>
            </w:r>
          </w:p>
        </w:tc>
      </w:tr>
      <w:tr>
        <w:tc>
          <w:tcPr>
            <w:tcW w:type="dxa" w:w="2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Redis unavailability degrades consumer coordination</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Possible duplicate-processing edge cases under concurrent load</w:t>
            </w:r>
          </w:p>
        </w:tc>
        <w:tc>
          <w:tcPr>
            <w:tcW w:type="dxa" w:w="4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MongoDB-level idempotency check as a second, authoritative line of defense beyond Redis; Redis deployed HA with automatic failover</w:t>
            </w:r>
          </w:p>
        </w:tc>
      </w:tr>
      <w:tr>
        <w:tc>
          <w:tcPr>
            <w:tcW w:type="dxa" w:w="2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Hash chain rewritten wholesale by an attacker with full DB access</w:t>
            </w:r>
          </w:p>
        </w:tc>
        <w:tc>
          <w:tcPr>
            <w:tcW w:type="dxa" w:w="2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Tamper detection defeated if the entire chain is regenerated consistently</w:t>
            </w:r>
          </w:p>
        </w:tc>
        <w:tc>
          <w:tcPr>
            <w:tcW w:type="dxa" w:w="4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Periodic externally-anchored checkpoint hashes (Section 7); strict least-privilege on write identities; database access logging and alerting</w:t>
            </w:r>
          </w:p>
        </w:tc>
      </w:tr>
      <w:tr>
        <w:tc>
          <w:tcPr>
            <w:tcW w:type="dxa" w:w="2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SQS backlog growth during sustained traffic spike</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Delayed availability of events for investigation (not data loss)</w:t>
            </w:r>
          </w:p>
        </w:tc>
        <w:tc>
          <w:tcPr>
            <w:tcW w:type="dxa" w:w="4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Auto-scaling consumers on queue depth; CloudWatch alarms on backlog age; documented backlog-drain runbook</w:t>
            </w:r>
          </w:p>
        </w:tc>
      </w:tr>
      <w:tr>
        <w:tc>
          <w:tcPr>
            <w:tcW w:type="dxa" w:w="2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MongoDB working-set growth exceeds single replica-set capacity</w:t>
            </w:r>
          </w:p>
        </w:tc>
        <w:tc>
          <w:tcPr>
            <w:tcW w:type="dxa" w:w="2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Degraded query performance over time</w:t>
            </w:r>
          </w:p>
        </w:tc>
        <w:tc>
          <w:tcPr>
            <w:tcW w:type="dxa" w:w="4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Defined retention window keeps hot-tier bounded; sharding available as a scaling lever (Section 15.1)</w:t>
            </w:r>
          </w:p>
        </w:tc>
      </w:tr>
      <w:tr>
        <w:tc>
          <w:tcPr>
            <w:tcW w:type="dxa" w:w="2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Consuming-system misuse (over-broad or noisy audit events)</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Cost growth and signal dilution for investigators</w:t>
            </w:r>
          </w:p>
        </w:tc>
        <w:tc>
          <w:tcPr>
            <w:tcW w:type="dxa" w:w="4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Payload size limits, schema validation, and per-consumer rate limiting at the API tier; onboarding review process</w:t>
            </w:r>
          </w:p>
        </w:tc>
      </w:tr>
      <w:tr>
        <w:tc>
          <w:tcPr>
            <w:tcW w:type="dxa" w:w="28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Regulatory retention requirements vary by jurisdiction/record type</w:t>
            </w:r>
          </w:p>
        </w:tc>
        <w:tc>
          <w:tcPr>
            <w:tcW w:type="dxa" w:w="26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Non-compliance if a single retention policy is applied uniformly</w:t>
            </w:r>
          </w:p>
        </w:tc>
        <w:tc>
          <w:tcPr>
            <w:tcW w:type="dxa" w:w="4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Retention configured per record classification per the Data Retention &amp; Classification Policy, not hard-coded globally</w:t>
            </w:r>
          </w:p>
        </w:tc>
      </w:tr>
      <w:tr>
        <w:tc>
          <w:tcPr>
            <w:tcW w:type="dxa" w:w="28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Single-region Phase 1 posture</w:t>
            </w:r>
          </w:p>
        </w:tc>
        <w:tc>
          <w:tcPr>
            <w:tcW w:type="dxa" w:w="26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Regional outage impacts availability beyond RTO target</w:t>
            </w:r>
          </w:p>
        </w:tc>
        <w:tc>
          <w:tcPr>
            <w:tcW w:type="dxa" w:w="4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Warm-standby DR region with documented failover runbook; multi-region active-active tracked as a post-Phase-1 roadmap item</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22.  Assumptions &amp; Dependencies</w:t>
      </w:r>
    </w:p>
    <w:p>
      <w:pPr>
        <w:pStyle w:val="Heading2"/>
        <w:spacing w:after="140" w:before="320"/>
      </w:pPr>
      <w:r>
        <w:rPr>
          <w:rFonts w:ascii="Calibri" w:cs="Calibri" w:eastAsia="Calibri" w:hAnsi="Calibri"/>
          <w:b/>
          <w:bCs/>
          <w:color w:val="2E5395"/>
          <w:sz w:val="24"/>
          <w:szCs w:val="24"/>
        </w:rPr>
        <w:t xml:space="preserve">Assumptions</w:t>
      </w:r>
    </w:p>
    <w:p>
      <w:pPr>
        <w:pStyle w:val="ListParagraph"/>
        <w:numPr>
          <w:ilvl w:val="0"/>
          <w:numId w:val="2"/>
        </w:numPr>
        <w:spacing w:after="60" w:line="264"/>
      </w:pPr>
      <w:r>
        <w:rPr>
          <w:rFonts w:ascii="Calibri" w:cs="Calibri" w:eastAsia="Calibri" w:hAnsi="Calibri"/>
          <w:color w:val="1A1A1A"/>
          <w:sz w:val="21"/>
          <w:szCs w:val="21"/>
        </w:rPr>
        <w:t xml:space="preserve">Consuming systems will integrate via the REST API and are responsible for determining which of their own actions are auditable.</w:t>
      </w:r>
    </w:p>
    <w:p>
      <w:pPr>
        <w:pStyle w:val="ListParagraph"/>
        <w:numPr>
          <w:ilvl w:val="0"/>
          <w:numId w:val="2"/>
        </w:numPr>
        <w:spacing w:after="60" w:line="264"/>
      </w:pPr>
      <w:r>
        <w:rPr>
          <w:rFonts w:ascii="Calibri" w:cs="Calibri" w:eastAsia="Calibri" w:hAnsi="Calibri"/>
          <w:color w:val="1A1A1A"/>
          <w:sz w:val="21"/>
          <w:szCs w:val="21"/>
        </w:rPr>
        <w:t xml:space="preserve">The enterprise Identity Provider is available and can issue/validate JWTs for both human users and service identities.</w:t>
      </w:r>
    </w:p>
    <w:p>
      <w:pPr>
        <w:pStyle w:val="ListParagraph"/>
        <w:numPr>
          <w:ilvl w:val="0"/>
          <w:numId w:val="2"/>
        </w:numPr>
        <w:spacing w:after="60" w:line="264"/>
      </w:pPr>
      <w:r>
        <w:rPr>
          <w:rFonts w:ascii="Calibri" w:cs="Calibri" w:eastAsia="Calibri" w:hAnsi="Calibri"/>
          <w:color w:val="1A1A1A"/>
          <w:sz w:val="21"/>
          <w:szCs w:val="21"/>
        </w:rPr>
        <w:t xml:space="preserve">AWS is the approved cloud provider for the managed services referenced (SQS, SNS, S3, CloudWatch); an on-prem or alternate-cloud variant would require substituting equivalent managed or self-hosted primitives.</w:t>
      </w:r>
    </w:p>
    <w:p>
      <w:pPr>
        <w:pStyle w:val="ListParagraph"/>
        <w:numPr>
          <w:ilvl w:val="0"/>
          <w:numId w:val="2"/>
        </w:numPr>
        <w:spacing w:after="60" w:line="264"/>
      </w:pPr>
      <w:r>
        <w:rPr>
          <w:rFonts w:ascii="Calibri" w:cs="Calibri" w:eastAsia="Calibri" w:hAnsi="Calibri"/>
          <w:color w:val="1A1A1A"/>
          <w:sz w:val="21"/>
          <w:szCs w:val="21"/>
        </w:rPr>
        <w:t xml:space="preserve">Data classification and retention rules will be supplied by Compliance/Legal ahead of Production go-live for each record type.</w:t>
      </w:r>
    </w:p>
    <w:p>
      <w:pPr>
        <w:pStyle w:val="Heading2"/>
        <w:spacing w:after="140" w:before="320"/>
      </w:pPr>
      <w:r>
        <w:rPr>
          <w:rFonts w:ascii="Calibri" w:cs="Calibri" w:eastAsia="Calibri" w:hAnsi="Calibri"/>
          <w:b/>
          <w:bCs/>
          <w:color w:val="2E5395"/>
          <w:sz w:val="24"/>
          <w:szCs w:val="24"/>
        </w:rPr>
        <w:t xml:space="preserve">Dependencies</w:t>
      </w:r>
    </w:p>
    <w:p>
      <w:pPr>
        <w:pStyle w:val="ListParagraph"/>
        <w:numPr>
          <w:ilvl w:val="0"/>
          <w:numId w:val="2"/>
        </w:numPr>
        <w:spacing w:after="60" w:line="264"/>
      </w:pPr>
      <w:r>
        <w:rPr>
          <w:rFonts w:ascii="Calibri" w:cs="Calibri" w:eastAsia="Calibri" w:hAnsi="Calibri"/>
          <w:color w:val="1A1A1A"/>
          <w:sz w:val="21"/>
          <w:szCs w:val="21"/>
        </w:rPr>
        <w:t xml:space="preserve">Enterprise IAM/IdP team — client registration, role/claim mapping for USER/AUDITOR/ADMIN.</w:t>
      </w:r>
    </w:p>
    <w:p>
      <w:pPr>
        <w:pStyle w:val="ListParagraph"/>
        <w:numPr>
          <w:ilvl w:val="0"/>
          <w:numId w:val="2"/>
        </w:numPr>
        <w:spacing w:after="60" w:line="264"/>
      </w:pPr>
      <w:r>
        <w:rPr>
          <w:rFonts w:ascii="Calibri" w:cs="Calibri" w:eastAsia="Calibri" w:hAnsi="Calibri"/>
          <w:color w:val="1A1A1A"/>
          <w:sz w:val="21"/>
          <w:szCs w:val="21"/>
        </w:rPr>
        <w:t xml:space="preserve">Cloud infrastructure/platform team — network segmentation, VPC/subnet provisioning, IAM role boundaries.</w:t>
      </w:r>
    </w:p>
    <w:p>
      <w:pPr>
        <w:pStyle w:val="ListParagraph"/>
        <w:numPr>
          <w:ilvl w:val="0"/>
          <w:numId w:val="2"/>
        </w:numPr>
        <w:spacing w:after="60" w:line="264"/>
      </w:pPr>
      <w:r>
        <w:rPr>
          <w:rFonts w:ascii="Calibri" w:cs="Calibri" w:eastAsia="Calibri" w:hAnsi="Calibri"/>
          <w:color w:val="1A1A1A"/>
          <w:sz w:val="21"/>
          <w:szCs w:val="21"/>
        </w:rPr>
        <w:t xml:space="preserve">Security team — SNS alert routing configuration (Slack/SIEM/PagerDuty integration), alert threshold ratification.</w:t>
      </w:r>
    </w:p>
    <w:p>
      <w:pPr>
        <w:pStyle w:val="ListParagraph"/>
        <w:numPr>
          <w:ilvl w:val="0"/>
          <w:numId w:val="2"/>
        </w:numPr>
        <w:spacing w:after="60" w:line="264"/>
      </w:pPr>
      <w:r>
        <w:rPr>
          <w:rFonts w:ascii="Calibri" w:cs="Calibri" w:eastAsia="Calibri" w:hAnsi="Calibri"/>
          <w:color w:val="1A1A1A"/>
          <w:sz w:val="21"/>
          <w:szCs w:val="21"/>
        </w:rPr>
        <w:t xml:space="preserve">Compliance/Internal Audit — retention policy definition, regulatory mapping sign-off (Section 16).</w:t>
      </w:r>
    </w:p>
    <w:p>
      <w:pPr>
        <w:pStyle w:val="ListParagraph"/>
        <w:numPr>
          <w:ilvl w:val="0"/>
          <w:numId w:val="2"/>
        </w:numPr>
        <w:spacing w:after="60" w:line="264"/>
      </w:pPr>
      <w:r>
        <w:rPr>
          <w:rFonts w:ascii="Calibri" w:cs="Calibri" w:eastAsia="Calibri" w:hAnsi="Calibri"/>
          <w:color w:val="1A1A1A"/>
          <w:sz w:val="21"/>
          <w:szCs w:val="21"/>
        </w:rPr>
        <w:t xml:space="preserve">Each consuming system's engineering team — integration work to emit audit events at the correct points in their own transaction flows.</w:t>
      </w:r>
    </w:p>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23.  Implementation Roadmap</w:t>
      </w:r>
    </w:p>
    <w:tbl>
      <w:tblPr>
        <w:tblW w:type="pct" w:w="10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4300"/>
        <w:gridCol w:w="3000"/>
      </w:tblGrid>
      <w:tr>
        <w:trPr>
          <w:tblHeader/>
        </w:trPr>
        <w:tc>
          <w:tcPr>
            <w:tcW w:type="dxa" w:w="21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Phase</w:t>
            </w:r>
          </w:p>
        </w:tc>
        <w:tc>
          <w:tcPr>
            <w:tcW w:type="dxa" w:w="43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Scope</w:t>
            </w:r>
          </w:p>
        </w:tc>
        <w:tc>
          <w:tcPr>
            <w:tcW w:type="dxa" w:w="3000"/>
            <w:shd w:fill="1F3864" w:val="clear"/>
            <w:tcMar>
              <w:top w:type="dxa" w:w="100"/>
              <w:left w:type="dxa" w:w="140"/>
              <w:bottom w:type="dxa" w:w="100"/>
              <w:right w:type="dxa" w:w="140"/>
            </w:tcMar>
            <w:vAlign w:val="center"/>
          </w:tcPr>
          <w:p>
            <w:pPr>
              <w:jc w:val="left"/>
            </w:pPr>
            <w:r>
              <w:rPr>
                <w:rFonts w:ascii="Calibri" w:cs="Calibri" w:eastAsia="Calibri" w:hAnsi="Calibri"/>
                <w:b/>
                <w:bCs/>
                <w:color w:val="FFFFFF"/>
                <w:sz w:val="19"/>
                <w:szCs w:val="19"/>
              </w:rPr>
              <w:t xml:space="preserve">Exit Criteria</w:t>
            </w:r>
          </w:p>
        </w:tc>
      </w:tr>
      <w:tr>
        <w:tc>
          <w:tcPr>
            <w:tcW w:type="dxa" w:w="2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Phase 0 — Foundations</w:t>
            </w:r>
          </w:p>
        </w:tc>
        <w:tc>
          <w:tcPr>
            <w:tcW w:type="dxa" w:w="4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Finalize LLDs, provision base infrastructure (VPC, SQS, SNS, MongoDB, Redis, S3), IdP integration</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ARB approval of this HLSD; infra provisioned in Dev/SIT</w:t>
            </w:r>
          </w:p>
        </w:tc>
      </w:tr>
      <w:tr>
        <w:tc>
          <w:tcPr>
            <w:tcW w:type="dxa" w:w="2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Phase 1 — Core Pipeline</w:t>
            </w:r>
          </w:p>
        </w:tc>
        <w:tc>
          <w:tcPr>
            <w:tcW w:type="dxa" w:w="4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 API ingestion endpoint, Consumer service, hash chain generation, MongoDB persistence, idempotency</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End-to-end event flow demonstrated in SIT with automated tests</w:t>
            </w:r>
          </w:p>
        </w:tc>
      </w:tr>
      <w:tr>
        <w:tc>
          <w:tcPr>
            <w:tcW w:type="dxa" w:w="2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Phase 2 — Investigation &amp; Integrity</w:t>
            </w:r>
          </w:p>
        </w:tc>
        <w:tc>
          <w:tcPr>
            <w:tcW w:type="dxa" w:w="4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Query APIs, /verify endpoint, scheduled verification job, Investigator UI (Dashboard, Audit Logs, Detail Drawer, Integrity Monitoring)</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Auditor-role UAT sign-off on search and verification workflows</w:t>
            </w:r>
          </w:p>
        </w:tc>
      </w:tr>
      <w:tr>
        <w:tc>
          <w:tcPr>
            <w:tcW w:type="dxa" w:w="2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Phase 3 — Alerting, Archival &amp; Hardening</w:t>
            </w:r>
          </w:p>
        </w:tc>
        <w:tc>
          <w:tcPr>
            <w:tcW w:type="dxa" w:w="4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SNS alerting rules, S3 archival lifecycle, RBAC hardening, security review, load testing, DR drill</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Security review passed; load test meets capacity targets; DR failover drill successful</w:t>
            </w:r>
          </w:p>
        </w:tc>
      </w:tr>
      <w:tr>
        <w:tc>
          <w:tcPr>
            <w:tcW w:type="dxa" w:w="21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Phase 4 — Pilot Onboarding</w:t>
            </w:r>
          </w:p>
        </w:tc>
        <w:tc>
          <w:tcPr>
            <w:tcW w:type="dxa" w:w="43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Onboard 1–2 low-risk consuming systems to Production</w:t>
            </w:r>
          </w:p>
        </w:tc>
        <w:tc>
          <w:tcPr>
            <w:tcW w:type="dxa" w:w="3000"/>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Stable operation for a defined bake-in period; no unresolved CRITICAL alerts</w:t>
            </w:r>
          </w:p>
        </w:tc>
      </w:tr>
      <w:tr>
        <w:tc>
          <w:tcPr>
            <w:tcW w:type="dxa" w:w="21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Phase 5 — General Availability</w:t>
            </w:r>
          </w:p>
        </w:tc>
        <w:tc>
          <w:tcPr>
            <w:tcW w:type="dxa" w:w="43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Onboard remaining consuming systems per prioritized schedule</w:t>
            </w:r>
          </w:p>
        </w:tc>
        <w:tc>
          <w:tcPr>
            <w:tcW w:type="dxa" w:w="3000"/>
            <w:shd w:fill="EEF2F8" w:val="clear"/>
            <w:tcMar>
              <w:top w:type="dxa" w:w="100"/>
              <w:left w:type="dxa" w:w="140"/>
              <w:bottom w:type="dxa" w:w="100"/>
              <w:right w:type="dxa" w:w="140"/>
            </w:tcMar>
            <w:vAlign w:val="center"/>
          </w:tcPr>
          <w:p>
            <w:pPr>
              <w:jc w:val="left"/>
            </w:pPr>
            <w:r>
              <w:rPr>
                <w:rFonts w:ascii="Calibri" w:cs="Calibri" w:eastAsia="Calibri" w:hAnsi="Calibri"/>
                <w:b w:val="false"/>
                <w:bCs w:val="false"/>
                <w:color w:val="1A1A1A"/>
                <w:sz w:val="20"/>
                <w:szCs w:val="20"/>
              </w:rPr>
              <w:t xml:space="preserve">All Phase-1 in-scope consumers migrated; platform SLOs met over a full reporting cycle</w:t>
            </w:r>
          </w:p>
        </w:tc>
      </w:tr>
    </w:tbl>
    <w:p>
      <w:r>
        <w:br w:type="page"/>
      </w:r>
    </w:p>
    <w:p>
      <w:pPr>
        <w:pStyle w:val="Heading1"/>
        <w:pBdr>
          <w:bottom w:val="single" w:color="1F3864" w:sz="8" w:space="4"/>
        </w:pBdr>
        <w:spacing w:after="200" w:before="480"/>
      </w:pPr>
      <w:r>
        <w:rPr>
          <w:rFonts w:ascii="Calibri" w:cs="Calibri" w:eastAsia="Calibri" w:hAnsi="Calibri"/>
          <w:b/>
          <w:bCs/>
          <w:color w:val="1F3864"/>
          <w:sz w:val="30"/>
          <w:szCs w:val="30"/>
        </w:rPr>
        <w:t xml:space="preserve">A.  Appendix A — Open Questions for Architecture Review Board</w:t>
      </w:r>
    </w:p>
    <w:p>
      <w:pPr>
        <w:pStyle w:val="ListParagraph"/>
        <w:numPr>
          <w:ilvl w:val="0"/>
          <w:numId w:val="3"/>
        </w:numPr>
        <w:spacing w:after="60" w:line="264"/>
      </w:pPr>
      <w:r>
        <w:rPr>
          <w:rFonts w:ascii="Calibri" w:cs="Calibri" w:eastAsia="Calibri" w:hAnsi="Calibri"/>
          <w:color w:val="1A1A1A"/>
          <w:sz w:val="21"/>
          <w:szCs w:val="21"/>
        </w:rPr>
        <w:t xml:space="preserve">Confirm target RPO/RTO figures in Section 15.3 against actual business continuity requirements for the highest-criticality consuming systems (trading, payments).</w:t>
      </w:r>
    </w:p>
    <w:p>
      <w:pPr>
        <w:pStyle w:val="ListParagraph"/>
        <w:numPr>
          <w:ilvl w:val="0"/>
          <w:numId w:val="3"/>
        </w:numPr>
        <w:spacing w:after="60" w:line="264"/>
      </w:pPr>
      <w:r>
        <w:rPr>
          <w:rFonts w:ascii="Calibri" w:cs="Calibri" w:eastAsia="Calibri" w:hAnsi="Calibri"/>
          <w:color w:val="1A1A1A"/>
          <w:sz w:val="21"/>
          <w:szCs w:val="21"/>
        </w:rPr>
        <w:t xml:space="preserve">Confirm whether S3 Object Lock Compliance mode (immutable even to account root) is required for all record classes or only a defined subset.</w:t>
      </w:r>
    </w:p>
    <w:p>
      <w:pPr>
        <w:pStyle w:val="ListParagraph"/>
        <w:numPr>
          <w:ilvl w:val="0"/>
          <w:numId w:val="3"/>
        </w:numPr>
        <w:spacing w:after="60" w:line="264"/>
      </w:pPr>
      <w:r>
        <w:rPr>
          <w:rFonts w:ascii="Calibri" w:cs="Calibri" w:eastAsia="Calibri" w:hAnsi="Calibri"/>
          <w:color w:val="1A1A1A"/>
          <w:sz w:val="21"/>
          <w:szCs w:val="21"/>
        </w:rPr>
        <w:t xml:space="preserve">Confirm final regulatory mapping in Section 16 with Legal/Compliance before this document is finalized as v1.0 approved.</w:t>
      </w:r>
    </w:p>
    <w:p>
      <w:pPr>
        <w:pStyle w:val="ListParagraph"/>
        <w:numPr>
          <w:ilvl w:val="0"/>
          <w:numId w:val="3"/>
        </w:numPr>
        <w:spacing w:after="60" w:line="264"/>
      </w:pPr>
      <w:r>
        <w:rPr>
          <w:rFonts w:ascii="Calibri" w:cs="Calibri" w:eastAsia="Calibri" w:hAnsi="Calibri"/>
          <w:color w:val="1A1A1A"/>
          <w:sz w:val="21"/>
          <w:szCs w:val="21"/>
        </w:rPr>
        <w:t xml:space="preserve">Determine whether a second region is required at Phase 1 launch or can be deferred to a post-GA roadmap item, based on business-criticality of earliest onboarding consumers.</w:t>
      </w:r>
    </w:p>
    <w:p>
      <w:pPr>
        <w:pStyle w:val="ListParagraph"/>
        <w:numPr>
          <w:ilvl w:val="0"/>
          <w:numId w:val="3"/>
        </w:numPr>
        <w:spacing w:after="60" w:line="264"/>
      </w:pPr>
      <w:r>
        <w:rPr>
          <w:rFonts w:ascii="Calibri" w:cs="Calibri" w:eastAsia="Calibri" w:hAnsi="Calibri"/>
          <w:color w:val="1A1A1A"/>
          <w:sz w:val="21"/>
          <w:szCs w:val="21"/>
        </w:rPr>
        <w:t xml:space="preserve">Confirm expected initial consumer volumes to refine the indicative capacity figures in Section 20 ahead of load testing.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HLSD-AUDIT-PLATFORM-001  |  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rFonts w:ascii="Calibri" w:cs="Calibri" w:eastAsia="Calibri" w:hAnsi="Calibri"/>
        <w:color w:val="595959"/>
        <w:sz w:val="16"/>
        <w:szCs w:val="16"/>
      </w:rPr>
      <w:t xml:space="preserve">Enterprise Audit Logging &amp; Compliance Platform — HLSD</w:t>
    </w:r>
    <w:r>
      <w:rPr>
        <w:rFonts w:ascii="Calibri" w:cs="Calibri" w:eastAsia="Calibri" w:hAnsi="Calibri"/>
        <w:color w:val="595959"/>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cs="Calibri" w:eastAsia="Calibri" w:hAnsi="Calibri"/>
      <w:b/>
      <w:bCs/>
      <w:color w:val="1F3864"/>
      <w:sz w:val="30"/>
      <w:szCs w:val="30"/>
    </w:rPr>
  </w:style>
  <w:style w:type="paragraph" w:styleId="Heading2">
    <w:name w:val="Heading 2"/>
    <w:basedOn w:val="Normal"/>
    <w:next w:val="Normal"/>
    <w:qFormat/>
    <w:pPr>
      <w:spacing w:after="140" w:before="320"/>
    </w:pPr>
    <w:rPr>
      <w:rFonts w:ascii="Calibri" w:cs="Calibri" w:eastAsia="Calibri" w:hAnsi="Calibri"/>
      <w:b/>
      <w:bCs/>
      <w:color w:val="2E5395"/>
      <w:sz w:val="24"/>
      <w:szCs w:val="24"/>
    </w:rPr>
  </w:style>
  <w:style w:type="paragraph" w:styleId="Heading3">
    <w:name w:val="Heading 3"/>
    <w:basedOn w:val="Normal"/>
    <w:next w:val="Normal"/>
    <w:qFormat/>
    <w:pPr>
      <w:spacing w:after="100" w:before="220"/>
    </w:pPr>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2026-08-16T19:25:39.524Z</dcterms:created>
  <dcterms:modified xsi:type="dcterms:W3CDTF">2026-08-16T19:25:39.524Z</dcterms:modified>
</cp:coreProperties>
</file>

<file path=docProps/custom.xml><?xml version="1.0" encoding="utf-8"?>
<Properties xmlns="http://schemas.openxmlformats.org/officeDocument/2006/custom-properties" xmlns:vt="http://schemas.openxmlformats.org/officeDocument/2006/docPropsVTypes"/>
</file>