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Insurance Policy</w:t>
      </w:r>
    </w:p>
    <w:p>
      <w:pPr>
        <w:pStyle w:val="Heading1"/>
      </w:pPr>
      <w:r>
        <w:t>Health Insurance</w:t>
      </w:r>
    </w:p>
    <w:p>
      <w:r>
        <w:t>The company provides group health insurance covering the employee, spouse, and up to two children. The annual coverage limit is 50,000 USD per family.</w:t>
      </w:r>
    </w:p>
    <w:p>
      <w:pPr>
        <w:pStyle w:val="Heading1"/>
      </w:pPr>
      <w:r>
        <w:t>Dental and Vision</w:t>
      </w:r>
    </w:p>
    <w:p>
      <w:r>
        <w:t>Dental coverage is capped at 1,500 USD per year. Vision coverage includes one eye exam and one pair of prescription glasses per year.</w:t>
      </w:r>
    </w:p>
    <w:p>
      <w:pPr>
        <w:pStyle w:val="Heading1"/>
      </w:pPr>
      <w:r>
        <w:t>Life Insurance</w:t>
      </w:r>
    </w:p>
    <w:p>
      <w:r>
        <w:t>Each employee is covered by a life insurance policy equal to 3 times their annual base salary.</w:t>
      </w:r>
    </w:p>
    <w:p>
      <w:pPr>
        <w:pStyle w:val="Heading1"/>
      </w:pPr>
      <w:r>
        <w:t>Claims</w:t>
      </w:r>
    </w:p>
    <w:p>
      <w:r>
        <w:t>Claims must be submitted within 90 days of the date of service through the HR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