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 (v2)</w:t>
      </w:r>
    </w:p>
    <w:p>
      <w:pPr>
        <w:pStyle w:val="Heading1"/>
      </w:pPr>
      <w:r>
        <w:t>Annual Leave</w:t>
      </w:r>
    </w:p>
    <w:p>
      <w:r>
        <w:t>All full-time employees are entitled to 22 days of paid annual leave per calendar year. Unused leave may be carried over up to a maximum of 10 days.</w:t>
      </w:r>
    </w:p>
    <w:p>
      <w:pPr>
        <w:pStyle w:val="Heading1"/>
      </w:pPr>
      <w:r>
        <w:t>Sick Leave</w:t>
      </w:r>
    </w:p>
    <w:p>
      <w:r>
        <w:t>Employees are entitled to 12 days of paid sick leave per year. A medical certificate is required for absences longer than 3 consecutive days.</w:t>
      </w:r>
    </w:p>
    <w:p>
      <w:pPr>
        <w:pStyle w:val="Heading1"/>
      </w:pPr>
      <w:r>
        <w:t>Maternity Leave</w:t>
      </w:r>
    </w:p>
    <w:p>
      <w:r>
        <w:t>Employees are entitled to 180 days of paid maternity leave. Leave must commence no earlier than 45 days before the expected due date.</w:t>
      </w:r>
    </w:p>
    <w:p>
      <w:pPr>
        <w:pStyle w:val="Heading1"/>
      </w:pPr>
      <w:r>
        <w:t>Paternity Leave</w:t>
      </w:r>
    </w:p>
    <w:p>
      <w:r>
        <w:t>Employees are entitled to 10 days of paid paternity leave, to be taken within 90 days of the child's birth.</w:t>
      </w:r>
    </w:p>
    <w:p>
      <w:pPr>
        <w:pStyle w:val="Heading1"/>
      </w:pPr>
      <w:r>
        <w:t>Work From Home</w:t>
      </w:r>
    </w:p>
    <w:p>
      <w:r>
        <w:t>Employees may work from home up to 3 days per week, subject to manager approval. This section is new in version 2.</w:t>
      </w:r>
    </w:p>
    <w:p>
      <w:pPr>
        <w:pStyle w:val="Heading1"/>
      </w:pPr>
      <w:r>
        <w:t>Travel Reimbursement</w:t>
      </w:r>
    </w:p>
    <w:p>
      <w:r>
        <w:t>Business travel expenses are reimbursed up to a cap of 800 USD per trip. Original receipts must be submitted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