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Travel Policy</w:t>
      </w:r>
    </w:p>
    <w:p>
      <w:pPr>
        <w:pStyle w:val="Heading1"/>
      </w:pPr>
      <w:r>
        <w:t>Booking</w:t>
      </w:r>
    </w:p>
    <w:p>
      <w:r>
        <w:t>All flights must be booked through the company's approved travel agency at least 14 days in advance where possible. Economy class is standard for flights under 6 hours.</w:t>
      </w:r>
    </w:p>
    <w:p>
      <w:pPr>
        <w:pStyle w:val="Heading1"/>
      </w:pPr>
      <w:r>
        <w:t>Accommodation</w:t>
      </w:r>
    </w:p>
    <w:p>
      <w:r>
        <w:t>Hotel stays are reimbursed up to 200 USD per night in standard cities and 300 USD per night in designated high-cost cities.</w:t>
      </w:r>
    </w:p>
    <w:p>
      <w:pPr>
        <w:pStyle w:val="Heading1"/>
      </w:pPr>
      <w:r>
        <w:t>Meals</w:t>
      </w:r>
    </w:p>
    <w:p>
      <w:r>
        <w:t>A daily meal allowance of 60 USD applies during business travel. Alcohol is not reimbursable.</w:t>
      </w:r>
    </w:p>
    <w:p>
      <w:pPr>
        <w:pStyle w:val="Heading1"/>
      </w:pPr>
      <w:r>
        <w:t>Ground Transport</w:t>
      </w:r>
    </w:p>
    <w:p>
      <w:r>
        <w:t>Ride-share and taxi expenses are reimbursable. Rental cars require prior manager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