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No. 35</w:t>
      </w:r>
    </w:p>
    <w:p>
      <w:r>
        <w:br/>
        <w:t>FORM No. 35</w:t>
        <w:br/>
        <w:br/>
        <w:t xml:space="preserve">To the Officer in charge of Jail at </w:t>
        <w:br/>
        <w:br/>
        <w:t>Whereas on the 12th December, 1953,</w:t>
        <w:br/>
        <w:t>Sarjug Rai And Others,</w:t>
        <w:br/>
        <w:t>the prisoner in case No. Criminal Appeal No. 165 of 1957,</w:t>
        <w:br/>
        <w:t>was convicted before me ,</w:t>
        <w:br/>
        <w:t>of the offence of dacoity</w:t>
        <w:br/>
        <w:t>under section 395,</w:t>
        <w:br/>
        <w:t>and was sentenced to 10 years' rigorous imprisonment.</w:t>
        <w:br/>
        <w:br/>
        <w:t>This is to authorise and require you to receive</w:t>
        <w:br/>
        <w:t>the said Sarjug Rai And Others into your custody.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