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50"/>
      </w:pPr>
      <w:r>
        <w:rPr>
          <w:b/>
          <w:bCs/>
          <w:sz w:val="40"/>
          <w:szCs w:val="40"/>
        </w:rPr>
        <w:t xml:space="preserve">Fraud Analytics Project: Findings</w:t>
      </w:r>
    </w:p>
    <w:p>
      <w:pPr>
        <w:pBdr>
          <w:bottom w:val="single" w:color="CCCCCC" w:sz="6" w:space="1"/>
        </w:pBdr>
        <w:spacing w:after="200"/>
      </w:pPr>
    </w:p>
    <w:p>
      <w:pPr>
        <w:spacing w:after="120" w:before="260"/>
      </w:pPr>
      <w:r>
        <w:rPr>
          <w:b/>
          <w:bCs/>
          <w:color w:val="1A1A1A"/>
          <w:sz w:val="28"/>
          <w:szCs w:val="28"/>
        </w:rPr>
        <w:t xml:space="preserve">1. Overall Fraud Rate</w:t>
      </w:r>
    </w:p>
    <w:p>
      <w:pPr>
        <w:spacing w:after="140"/>
      </w:pPr>
      <w:r>
        <w:t xml:space="preserve">29,757 of 24,386,900 transactions were fraud, a rate of 0.122%. In line with typical real-world card fraud rates.</w:t>
      </w:r>
    </w:p>
    <w:p>
      <w:pPr>
        <w:pBdr>
          <w:bottom w:val="single" w:color="CCCCCC" w:sz="6" w:space="1"/>
        </w:pBdr>
        <w:spacing w:after="200"/>
      </w:pPr>
    </w:p>
    <w:p>
      <w:pPr>
        <w:spacing w:after="120" w:before="260"/>
      </w:pPr>
      <w:r>
        <w:rPr>
          <w:b/>
          <w:bCs/>
          <w:color w:val="1A1A1A"/>
          <w:sz w:val="28"/>
          <w:szCs w:val="28"/>
        </w:rPr>
        <w:t xml:space="preserve">2. Fraud Rate by Merchant Category</w:t>
      </w:r>
    </w:p>
    <w:p>
      <w:pPr>
        <w:spacing w:after="140"/>
      </w:pPr>
      <w:r>
        <w:t xml:space="preserve">Cruise lines (50%), music stores (25.6%), and computer stores (9.4%) had the highest fraud rates. Fraud concentrates in high-value, resellable categories.</w:t>
      </w:r>
    </w:p>
    <w:p>
      <w:pPr>
        <w:pBdr>
          <w:bottom w:val="single" w:color="CCCCCC" w:sz="6" w:space="1"/>
        </w:pBdr>
        <w:spacing w:after="200"/>
      </w:pPr>
    </w:p>
    <w:p>
      <w:pPr>
        <w:spacing w:after="120" w:before="260"/>
      </w:pPr>
      <w:r>
        <w:rPr>
          <w:b/>
          <w:bCs/>
          <w:color w:val="1A1A1A"/>
          <w:sz w:val="28"/>
          <w:szCs w:val="28"/>
        </w:rPr>
        <w:t xml:space="preserve">3. Fraud Rate by Hour of Day</w:t>
      </w:r>
    </w:p>
    <w:p>
      <w:pPr>
        <w:spacing w:after="140"/>
      </w:pPr>
      <w:r>
        <w:t xml:space="preserve">Fraud rate is fairly flat across the day (0.01% to 0.19%). No strong night-time spike, contrary to common assumption. Late evening (9 to 11pm) is actually the lowest-risk window.</w:t>
      </w:r>
    </w:p>
    <w:p>
      <w:pPr>
        <w:pBdr>
          <w:bottom w:val="single" w:color="CCCCCC" w:sz="6" w:space="1"/>
        </w:pBdr>
        <w:spacing w:after="200"/>
      </w:pPr>
    </w:p>
    <w:p>
      <w:pPr>
        <w:spacing w:after="120" w:before="260"/>
      </w:pPr>
      <w:r>
        <w:rPr>
          <w:b/>
          <w:bCs/>
          <w:color w:val="1A1A1A"/>
          <w:sz w:val="28"/>
          <w:szCs w:val="28"/>
        </w:rPr>
        <w:t xml:space="preserve">4. Transaction Amount, Fraud vs Legitimate</w:t>
      </w:r>
    </w:p>
    <w:p>
      <w:pPr>
        <w:spacing w:after="140"/>
      </w:pPr>
      <w:r>
        <w:t xml:space="preserve">Fraud transactions average $108.59 vs $43.55 for legitimate ones, about 2.5x larger. Amount alone is a useful but imperfect fraud signal.</w:t>
      </w:r>
    </w:p>
    <w:p>
      <w:pPr>
        <w:pBdr>
          <w:bottom w:val="single" w:color="CCCCCC" w:sz="6" w:space="1"/>
        </w:pBdr>
        <w:spacing w:after="200"/>
      </w:pPr>
    </w:p>
    <w:p>
      <w:pPr>
        <w:spacing w:after="120" w:before="260"/>
      </w:pPr>
      <w:r>
        <w:rPr>
          <w:b/>
          <w:bCs/>
          <w:color w:val="1A1A1A"/>
          <w:sz w:val="28"/>
          <w:szCs w:val="28"/>
        </w:rPr>
        <w:t xml:space="preserve">5. Fraud Concentration on High-Volume Cards</w:t>
      </w:r>
    </w:p>
    <w:p>
      <w:pPr>
        <w:spacing w:after="140"/>
      </w:pPr>
      <w:r>
        <w:t xml:space="preserve">The busiest card by fraud count had 57 fraud transactions out of 6,578, about 7x the average rate. Ranking by raw count is partly a volume effect, addressed properly in finding 10.</w:t>
      </w:r>
    </w:p>
    <w:p>
      <w:pPr>
        <w:pBdr>
          <w:bottom w:val="single" w:color="CCCCCC" w:sz="6" w:space="1"/>
        </w:pBdr>
        <w:spacing w:after="200"/>
      </w:pPr>
    </w:p>
    <w:p>
      <w:pPr>
        <w:spacing w:after="120" w:before="260"/>
      </w:pPr>
      <w:r>
        <w:rPr>
          <w:b/>
          <w:bCs/>
          <w:color w:val="1A1A1A"/>
          <w:sz w:val="28"/>
          <w:szCs w:val="28"/>
        </w:rPr>
        <w:t xml:space="preserve">6. Individual Merchant Fraud Rates</w:t>
      </w:r>
    </w:p>
    <w:p>
      <w:pPr>
        <w:spacing w:after="140"/>
      </w:pPr>
      <w:r>
        <w:t xml:space="preserve">One merchant had a 100% fraud rate across 148 transactions. Several top merchants fell in cruise lines, matching the category-level pattern. A rate this high at one merchant likely means a compromised payment system, not just a risky category.</w:t>
      </w:r>
    </w:p>
    <w:p>
      <w:pPr>
        <w:pBdr>
          <w:bottom w:val="single" w:color="CCCCCC" w:sz="6" w:space="1"/>
        </w:pBdr>
        <w:spacing w:after="200"/>
      </w:pPr>
    </w:p>
    <w:p>
      <w:pPr>
        <w:spacing w:after="120" w:before="260"/>
      </w:pPr>
      <w:r>
        <w:rPr>
          <w:b/>
          <w:bCs/>
          <w:color w:val="1A1A1A"/>
          <w:sz w:val="28"/>
          <w:szCs w:val="28"/>
        </w:rPr>
        <w:t xml:space="preserve">7. Transaction Velocity Around Fraud Events</w:t>
      </w:r>
    </w:p>
    <w:p>
      <w:pPr>
        <w:spacing w:after="140"/>
      </w:pPr>
      <w:r>
        <w:t xml:space="preserve">On one high-fraud card, fraud transactions came in clusters (same-day bursts) rather than evenly spread out, then long gaps of no fraud. Raw 24-hour transaction count alone was not a strong standalone signal for this card.</w:t>
      </w:r>
    </w:p>
    <w:p>
      <w:pPr>
        <w:pBdr>
          <w:bottom w:val="single" w:color="CCCCCC" w:sz="6" w:space="1"/>
        </w:pBdr>
        <w:spacing w:after="200"/>
      </w:pPr>
    </w:p>
    <w:p>
      <w:pPr>
        <w:spacing w:after="120" w:before="260"/>
      </w:pPr>
      <w:r>
        <w:rPr>
          <w:b/>
          <w:bCs/>
          <w:color w:val="1A1A1A"/>
          <w:sz w:val="28"/>
          <w:szCs w:val="28"/>
        </w:rPr>
        <w:t xml:space="preserve">8. Geographically Impossible Transactions</w:t>
      </w:r>
    </w:p>
    <w:p>
      <w:pPr>
        <w:spacing w:after="140"/>
      </w:pPr>
      <w:r>
        <w:t xml:space="preserve">Every flagged pair showed the same card used in two different states, sometimes two countries, at the exact same minute. One example: a transaction in Italy and Tennessee at the identical timestamp. A strong, unambiguous sign of a cloned card.</w:t>
      </w:r>
    </w:p>
    <w:p>
      <w:pPr>
        <w:pBdr>
          <w:bottom w:val="single" w:color="CCCCCC" w:sz="6" w:space="1"/>
        </w:pBdr>
        <w:spacing w:after="200"/>
      </w:pPr>
    </w:p>
    <w:p>
      <w:pPr>
        <w:spacing w:after="120" w:before="260"/>
      </w:pPr>
      <w:r>
        <w:rPr>
          <w:b/>
          <w:bCs/>
          <w:color w:val="1A1A1A"/>
          <w:sz w:val="28"/>
          <w:szCs w:val="28"/>
        </w:rPr>
        <w:t xml:space="preserve">9. Composite Risk Score</w:t>
      </w:r>
    </w:p>
    <w:p>
      <w:pPr>
        <w:spacing w:after="140"/>
      </w:pPr>
      <w:r>
        <w:t xml:space="preserve">A score combining amount deviation and merchant risk flagged a mix of real fraud and legitimate large purchases (e.g. a $12,390 charge that was not fraud). Amount deviation alone is a strong but imperfect signal, since large purchases can be legitimate.</w:t>
      </w:r>
    </w:p>
    <w:p>
      <w:pPr>
        <w:pBdr>
          <w:bottom w:val="single" w:color="CCCCCC" w:sz="6" w:space="1"/>
        </w:pBdr>
        <w:spacing w:after="200"/>
      </w:pPr>
    </w:p>
    <w:p>
      <w:pPr>
        <w:spacing w:after="120" w:before="260"/>
      </w:pPr>
      <w:r>
        <w:rPr>
          <w:b/>
          <w:bCs/>
          <w:color w:val="1A1A1A"/>
          <w:sz w:val="28"/>
          <w:szCs w:val="28"/>
        </w:rPr>
        <w:t xml:space="preserve">10. Risk Deciles</w:t>
      </w:r>
    </w:p>
    <w:p>
      <w:pPr>
        <w:spacing w:after="140"/>
      </w:pPr>
      <w:r>
        <w:t xml:space="preserve">The riskiest 10% of cards account for 35.5% of all fraud. The riskiest 30% account for 84.3%. The safest 50% of cards had zero fraud. Fraud is heavily concentrated in a small slice of cards, not spread evenly.</w:t>
      </w:r>
    </w:p>
    <w:p>
      <w:pPr>
        <w:pBdr>
          <w:bottom w:val="single" w:color="CCCCCC" w:sz="6" w:space="1"/>
        </w:pBdr>
        <w:spacing w:after="200"/>
      </w:pPr>
    </w:p>
    <w:p>
      <w:pPr>
        <w:spacing w:after="120" w:before="260"/>
      </w:pPr>
      <w:r>
        <w:rPr>
          <w:b/>
          <w:bCs/>
          <w:color w:val="1A1A1A"/>
          <w:sz w:val="28"/>
          <w:szCs w:val="28"/>
        </w:rPr>
        <w:t xml:space="preserve">11. Test Charge Pattern</w:t>
      </w:r>
    </w:p>
    <w:p>
      <w:pPr>
        <w:spacing w:after="140"/>
      </w:pPr>
      <w:r>
        <w:t xml:space="preserve">20 cases found of a small charge (under $2) immediately followed by a large charge (over $100) on the same card. Consistent with a known fraud technique of testing a stolen card before draining it. Timestamps only record to the minute, so exact ordering within a minute cannot be confirmed.</w:t>
      </w:r>
    </w:p>
    <w:p>
      <w:pPr>
        <w:pBdr>
          <w:bottom w:val="single" w:color="CCCCCC" w:sz="6" w:space="1"/>
        </w:pBdr>
        <w:spacing w:after="200"/>
      </w:pPr>
    </w:p>
    <w:p>
      <w:pPr>
        <w:spacing w:after="120" w:before="260"/>
      </w:pPr>
      <w:r>
        <w:rPr>
          <w:b/>
          <w:bCs/>
          <w:color w:val="1A1A1A"/>
          <w:sz w:val="28"/>
          <w:szCs w:val="28"/>
        </w:rPr>
        <w:t xml:space="preserve">12. Fraud Ring Detection</w:t>
      </w:r>
    </w:p>
    <w:p>
      <w:pPr>
        <w:spacing w:after="140"/>
      </w:pPr>
      <w:r>
        <w:t xml:space="preserve">One merchant had 43 different cards transact within an hour of a fraud event there, far more than any other. Suggests a compromised point of sale system or a batch of stolen cards being used at the same location, not one isolated stolen card.</w:t>
      </w:r>
    </w:p>
    <w:p>
      <w:pPr>
        <w:pBdr>
          <w:bottom w:val="single" w:color="CCCCCC" w:sz="6" w:space="1"/>
        </w:pBdr>
        <w:spacing w:after="200"/>
      </w:pPr>
    </w:p>
    <w:p>
      <w:pPr>
        <w:spacing w:after="120" w:before="260"/>
      </w:pPr>
      <w:r>
        <w:rPr>
          <w:b/>
          <w:bCs/>
          <w:color w:val="1A1A1A"/>
          <w:sz w:val="28"/>
          <w:szCs w:val="28"/>
        </w:rPr>
        <w:t xml:space="preserve">13. Dynamic Per-Card Spending Threshold</w:t>
      </w:r>
    </w:p>
    <w:p>
      <w:pPr>
        <w:spacing w:after="140"/>
      </w:pPr>
      <w:r>
        <w:t xml:space="preserve">Flagging a transaction only if it exceeds that specific card's own 95th percentile spending produced zero false positives in the top 20 results. This beat the flat, one-size-fits-all threshold used in finding 9. The strongest single signal found in the project.</w:t>
      </w:r>
    </w:p>
    <w:p>
      <w:pPr>
        <w:pBdr>
          <w:bottom w:val="single" w:color="CCCCCC" w:sz="6" w:space="1"/>
        </w:pBdr>
        <w:spacing w:after="200"/>
      </w:pPr>
    </w:p>
    <w:p>
      <w:pPr>
        <w:spacing w:after="120" w:before="260"/>
      </w:pPr>
      <w:r>
        <w:rPr>
          <w:b/>
          <w:bCs/>
          <w:color w:val="1A1A1A"/>
          <w:sz w:val="28"/>
          <w:szCs w:val="28"/>
        </w:rPr>
        <w:t xml:space="preserve">14. Machine Learning Model</w:t>
      </w:r>
    </w:p>
    <w:p>
      <w:pPr>
        <w:spacing w:after="140"/>
      </w:pPr>
      <w:r>
        <w:t xml:space="preserve">A logistic regression model was trained on a 244,000-row sample. Adding two features built from the strongest SQL findings, merchant fraud rate and the per-card 95th percentile flag, improved the model measurably: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3D3D3D" w:val="clear"/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3120"/>
            <w:shd w:fill="3D3D3D" w:val="clear"/>
          </w:tcPr>
          <w:p>
            <w:r>
              <w:rPr>
                <w:b/>
                <w:bCs/>
                <w:color w:val="FFFFFF"/>
              </w:rPr>
              <w:t xml:space="preserve">Baseline (4 basic features)</w:t>
            </w:r>
          </w:p>
        </w:tc>
        <w:tc>
          <w:tcPr>
            <w:tcW w:type="dxa" w:w="3120"/>
            <w:shd w:fill="3D3D3D" w:val="clear"/>
          </w:tcPr>
          <w:p>
            <w:r>
              <w:rPr>
                <w:b/>
                <w:bCs/>
                <w:color w:val="FFFFFF"/>
              </w:rPr>
              <w:t xml:space="preserve">Improved (+ 2 SQL-derived features)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t xml:space="preserve">Recall (fraud caught)</w:t>
            </w:r>
          </w:p>
        </w:tc>
        <w:tc>
          <w:tcPr>
            <w:tcW w:type="dxa" w:w="3120"/>
            <w:shd w:fill="FFFFFF" w:val="clear"/>
          </w:tcPr>
          <w:p>
            <w:r>
              <w:t xml:space="preserve">56%</w:t>
            </w:r>
          </w:p>
        </w:tc>
        <w:tc>
          <w:tcPr>
            <w:tcW w:type="dxa" w:w="3120"/>
            <w:shd w:fill="FFFFFF" w:val="clear"/>
          </w:tcPr>
          <w:p>
            <w:r>
              <w:t xml:space="preserve">72%</w:t>
            </w:r>
          </w:p>
        </w:tc>
      </w:tr>
      <w:tr>
        <w:tc>
          <w:tcPr>
            <w:tcW w:type="dxa" w:w="3120"/>
            <w:shd w:fill="F2F4F7" w:val="clear"/>
          </w:tcPr>
          <w:p>
            <w:r>
              <w:t xml:space="preserve">ROC-AUC</w:t>
            </w:r>
          </w:p>
        </w:tc>
        <w:tc>
          <w:tcPr>
            <w:tcW w:type="dxa" w:w="3120"/>
            <w:shd w:fill="F2F4F7" w:val="clear"/>
          </w:tcPr>
          <w:p>
            <w:r>
              <w:t xml:space="preserve">0.69</w:t>
            </w:r>
          </w:p>
        </w:tc>
        <w:tc>
          <w:tcPr>
            <w:tcW w:type="dxa" w:w="3120"/>
            <w:shd w:fill="F2F4F7" w:val="clear"/>
          </w:tcPr>
          <w:p>
            <w:r>
              <w:t xml:space="preserve">0.86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2026-08-18T13:41:36.352Z</dcterms:created>
  <dcterms:modified xsi:type="dcterms:W3CDTF">2026-08-18T13:41:36.352Z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