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Calibri" w:hAnsi="Calibri"/>
          <w:b/>
          <w:color w:val="7F8C8D"/>
          <w:sz w:val="22"/>
        </w:rPr>
        <w:t>ENTERPRISE ARCHITECTURE SPECIFICATION</w:t>
      </w:r>
    </w:p>
    <w:p>
      <w:pPr>
        <w:spacing w:before="0" w:after="240"/>
      </w:pPr>
      <w:r>
        <w:rPr>
          <w:rFonts w:ascii="Calibri" w:hAnsi="Calibri"/>
          <w:b/>
          <w:color w:val="1F497D"/>
          <w:sz w:val="56"/>
        </w:rPr>
        <w:t>System Requirements Specification (SRS)</w:t>
      </w:r>
    </w:p>
    <w:p>
      <w:pPr>
        <w:spacing w:before="0" w:after="720"/>
      </w:pPr>
      <w:r>
        <w:rPr>
          <w:rFonts w:ascii="Calibri" w:hAnsi="Calibri"/>
          <w:color w:val="34495E"/>
          <w:sz w:val="28"/>
        </w:rPr>
        <w:t>Enterprise Local-First Desktop RPA &amp; Autonomous Agent Engine</w:t>
        <w:br/>
        <w:t>Cross-Platform Desktop Orchestrator with Human-In-The-Loop Quality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97D"/>
                <w:sz w:val="21"/>
              </w:rPr>
              <w:t>📌 ENGINEERING METADATA &amp; CONTROL</w:t>
              <w:br/>
            </w:r>
            <w:r>
              <w:rPr>
                <w:rFonts w:ascii="Calibri" w:hAnsi="Calibri"/>
                <w:color w:val="333333"/>
                <w:sz w:val="19"/>
              </w:rPr>
              <w:t>Document Identifier: SRS-RPA-2026-V1.0</w:t>
              <w:br/>
              <w:t>Target Baseline: Tauri v2 (Rust Core) + React 18 (Tailwind UI) + CPython 3.11 Sidecar + LangGraph + Google Gemini API</w:t>
              <w:br/>
              <w:t>Security Classification: Enterprise Local-First (Zero Cloud Database, Strict BYOK)</w:t>
              <w:br/>
              <w:t>Author: Principal Systems Architect &amp; Lead Full-Stack Engineer</w:t>
              <w:br/>
              <w:t>Publication Date: October 24, 2026</w:t>
              <w:br/>
              <w:t>Status: Approved &amp; Verified Baseline Build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Document 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Release Date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Author / Role</w:t>
            </w:r>
          </w:p>
        </w:tc>
        <w:tc>
          <w:tcPr>
            <w:tcW w:type="dxa" w:w="388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Changes &amp; Scope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0.1.0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2026-10-24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Systems Architect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Initial SRS draft and core architectural constraints definition.</w:t>
            </w:r>
          </w:p>
        </w:tc>
      </w:tr>
      <w:tr>
        <w:tc>
          <w:tcPr>
            <w:tcW w:type="dxa" w:w="115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0.9.0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2026-10-24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Lead Full-Stack Eng</w:t>
            </w:r>
          </w:p>
        </w:tc>
        <w:tc>
          <w:tcPr>
            <w:tcW w:type="dxa" w:w="388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Integration of Tauri IPC bridge, LangGraph state machine &amp; Playwright CDP.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1.0.0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2026-10-24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Principal Architect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Final verification: zero-CLI auto-provisioning, native OS keyring &amp; multimodal vision fallback.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Executive Summary</w:t>
      </w:r>
    </w:p>
    <w:p>
      <w:pPr>
        <w:spacing w:line="276" w:lineRule="auto"/>
      </w:pPr>
      <w:r>
        <w:t>This System Requirements Specification (SRS) defines the formal technical requirements, system architecture, operational workflows, and compliance bounds for the Enterprise Local-First Desktop RPA &amp; Autonomous Agent Engine. The system is purpose-built to deliver autonomous browser automation, data extraction, document transformation, and multi-step desktop RPA while upholding five uncompromising architectural guarantees: (1) Strict Local-First Compute with zero telemetry proxies, (2) Bring Your Own Key (BYOK) direct client-to-Gemini cryptographic transactions, (3) Draft-First Quality Control via LangGraph checkpointed Human-in-the-Loop pauses, (4) Zero-CLI Auto-Bootstrapping of all runtime dependencies, and (5) Non-invasive Headless &amp; Detached Automation.</w:t>
      </w:r>
    </w:p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1. Introduction</w:t>
      </w:r>
    </w:p>
    <w:p>
      <w:pPr>
        <w:pStyle w:val="Heading2"/>
        <w:keepNext/>
        <w:spacing w:before="160" w:after="80"/>
      </w:pPr>
      <w:r>
        <w:rPr>
          <w:rFonts w:ascii="Calibri" w:hAnsi="Calibri"/>
          <w:color w:val="2C3E50"/>
        </w:rPr>
        <w:t>1.1 Purpose</w:t>
      </w:r>
    </w:p>
    <w:p>
      <w:r>
        <w:t>The purpose of this document is to specify the comprehensive functional and non-functional requirements for the RPA Desktop Platform. It serves as the authoritative technical baseline for development, testing, security audits, and enterprise lifecycle management.</w:t>
      </w:r>
    </w:p>
    <w:p>
      <w:pPr>
        <w:pStyle w:val="Heading2"/>
        <w:keepNext/>
        <w:spacing w:before="160" w:after="80"/>
      </w:pPr>
      <w:r>
        <w:rPr>
          <w:rFonts w:ascii="Calibri" w:hAnsi="Calibri"/>
          <w:color w:val="2C3E50"/>
        </w:rPr>
        <w:t>1.2 Scope of the System</w:t>
      </w:r>
    </w:p>
    <w:p>
      <w:r>
        <w:t>The system encompasses three deeply integrated layers packaged as a self-contained desktop executable:</w:t>
        <w:br/>
        <w:t>• Desktop Shell (Tauri v2 / Rust): Native OS window host, local SQLite WAL state manager, OS Keyring vault bridge, and runtime process supervisor.</w:t>
        <w:br/>
        <w:t>• User Interface (React 18 / Tailwind CSS): Prompt intake, real-time streaming feedback, task manifest inspection, interactive HITL preview modals, and system health diagnostics.</w:t>
        <w:br/>
        <w:t>• Execution Engine (CPython 3.11 / LangGraph Sidecar): Stateful agent graph execution, ethical pre-flight filtering, Playwright browser control, Gemini 2.0 Flash multimodal vision fallback, and sandboxed filesystem operations.</w:t>
      </w:r>
    </w:p>
    <w:p>
      <w:pPr>
        <w:pStyle w:val="Heading2"/>
        <w:keepNext/>
        <w:spacing w:before="160" w:after="80"/>
      </w:pPr>
      <w:r>
        <w:rPr>
          <w:rFonts w:ascii="Calibri" w:hAnsi="Calibri"/>
          <w:color w:val="2C3E50"/>
        </w:rPr>
        <w:t>1.3 Core Architectural Guarantees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97D"/>
                <w:sz w:val="21"/>
              </w:rPr>
              <w:t>📌 ARCHITECTURAL INVARIANT 1: STRICT LOCAL-FIRST COMPUTE</w:t>
              <w:br/>
            </w:r>
            <w:r>
              <w:rPr>
                <w:rFonts w:ascii="Calibri" w:hAnsi="Calibri"/>
                <w:color w:val="333333"/>
                <w:sz w:val="19"/>
              </w:rPr>
              <w:t>No application data, browser states, execution logs, or cached credentials are ever transmitted to third-party cloud servers or telemetry relays. All state persistence executes locally inside SQLite WAL databases on the host.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97D"/>
                <w:sz w:val="21"/>
              </w:rPr>
              <w:t>📌 ARCHITECTURAL INVARIANT 2: BRING YOUR OWN KEY (BYOK)</w:t>
              <w:br/>
            </w:r>
            <w:r>
              <w:rPr>
                <w:rFonts w:ascii="Calibri" w:hAnsi="Calibri"/>
                <w:color w:val="333333"/>
                <w:sz w:val="19"/>
              </w:rPr>
              <w:t>The system communicates directly with Google Gemini API endpoints (generativelanguage.googleapis.com) using TLS 1.3. User API keys are stored exclusively in the OS Keyring or local AES-256-GCM vault.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97D"/>
                <w:sz w:val="21"/>
              </w:rPr>
              <w:t>📌 ARCHITECTURAL INVARIANT 3: DRAFT-FIRST QUALITY CONTROL (HITL)</w:t>
              <w:br/>
            </w:r>
            <w:r>
              <w:rPr>
                <w:rFonts w:ascii="Calibri" w:hAnsi="Calibri"/>
                <w:color w:val="333333"/>
                <w:sz w:val="19"/>
              </w:rPr>
              <w:t>Agents are architecturally barred from executing external state modifications (uploads, database commits, form submissions, deletions) without hitting a LangGraph interrupt() checkpoint requiring explicit operator sign-off.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97D"/>
                <w:sz w:val="21"/>
              </w:rPr>
              <w:t>📌 ARCHITECTURAL INVARIANT 4: ZERO-CLI AUTO-BOOTSTRAP</w:t>
              <w:br/>
            </w:r>
            <w:r>
              <w:rPr>
                <w:rFonts w:ascii="Calibri" w:hAnsi="Calibri"/>
                <w:color w:val="333333"/>
                <w:sz w:val="19"/>
              </w:rPr>
              <w:t>The platform automatically detects host architecture (Apple Silicon / x86_64) and auto-provisions required isolated binaries (Python 3.11, pip packages, Playwright Chromium) to sandboxed user directories without root prompts.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4B5563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F497D"/>
                <w:sz w:val="21"/>
              </w:rPr>
              <w:t>📌 ARCHITECTURAL INVARIANT 5: HEADLESS &amp; DETACHED AUTOMATION</w:t>
              <w:br/>
            </w:r>
            <w:r>
              <w:rPr>
                <w:rFonts w:ascii="Calibri" w:hAnsi="Calibri"/>
                <w:color w:val="333333"/>
                <w:sz w:val="19"/>
              </w:rPr>
              <w:t>Browser sessions execute inside detached Playwright/CDP instances. Mouse cursors, active keyboard focus, and physical user displays are never hijacked or compromised during runtime RPA execution.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2. System Architecture &amp; Topology</w:t>
      </w:r>
    </w:p>
    <w:p>
      <w:r>
        <w:t>The system employs a tripartite decoupled micro-architecture designed for maximum isolation, security, and memory efficiency: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01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60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Communication Protocol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Desktop Shell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Tauri v2 (Rust)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OS Windowing, Native Keyring Bridge, SQLite WAL Manager, Diagnostics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Native Host APIs / FFI</w:t>
            </w:r>
          </w:p>
        </w:tc>
      </w:tr>
      <w:tr>
        <w:tc>
          <w:tcPr>
            <w:tcW w:type="dxa" w:w="15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IPC Bridge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Tauri Core IPC</w:t>
            </w:r>
          </w:p>
        </w:tc>
        <w:tc>
          <w:tcPr>
            <w:tcW w:type="dxa" w:w="360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Asynchronous command routing &amp; JSON-line stdio streaming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Tauri invoke() &amp; stdio pipes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Presentation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React 18, Tailwind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Chat intake, execution log viewing, HITL preview modal, Settings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DOM / Virtual DOM &amp; Zustand Store</w:t>
            </w:r>
          </w:p>
        </w:tc>
      </w:tr>
      <w:tr>
        <w:tc>
          <w:tcPr>
            <w:tcW w:type="dxa" w:w="15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Execution Sidecar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3.11, LangGraph</w:t>
            </w:r>
          </w:p>
        </w:tc>
        <w:tc>
          <w:tcPr>
            <w:tcW w:type="dxa" w:w="360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StateGraph engine, ethical filter, Playwright CDP, Vision Fallback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Bidirectional JSON-lines Stdio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AI Provider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Google Gemini 2.0 Flash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Intent classification, manifest planning, vision element localization, diff revisions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Direct HTTPS / REST via BYOK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3. Detailed Functional Requirements</w:t>
      </w:r>
    </w:p>
    <w:p>
      <w:pPr>
        <w:pStyle w:val="Heading2"/>
        <w:keepNext/>
        <w:spacing w:before="200" w:after="80"/>
      </w:pPr>
      <w:r>
        <w:rPr>
          <w:rFonts w:ascii="Calibri" w:hAnsi="Calibri"/>
          <w:color w:val="2C3E50"/>
        </w:rPr>
        <w:t>3.1 Phase 1: Security, Storage &amp; Pre-Flight Intake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Title</w:t>
            </w:r>
          </w:p>
        </w:tc>
        <w:tc>
          <w:tcPr>
            <w:tcW w:type="dxa" w:w="53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Functional Specification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Native OS Keyring Storage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system shall store Gemini API keys in the native OS Keyring (macOS Keychain, Windows Credential Manager, Linux Secret Service) under service 'rpa-agent-platform'.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FR-SEC-02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AES-256-GCM Vault Fallback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If the OS Keyring daemon is unavailable, keys shall be encrypted using AES-256-GCM with a machine-derived SHA-256 key and random 96-bit nonce, saved in local vault.json.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Regex Fast Blocklist Filter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Before invoking any LLM, incoming prompts shall be evaluated against a sub-millisecond regex blocklist intercepting credential harvesting, DDoS, ransomware, and privilege escalation.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FR-SEC-04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Gemini Ethical Classifier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Prompts passing regex filters shall be evaluated by Gemini 2.0 Flash for authorization, security compliance, and safe execution intent, rejecting unsafe actions with structured reasons.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Structured Task Manifest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Approved prompts shall be compiled into a validated TaskManifest JSON specifying atomic steps, tool requirements, schemas, and dependencies before execution commences.</w:t>
            </w:r>
          </w:p>
        </w:tc>
      </w:tr>
    </w:tbl>
    <w:p/>
    <w:p>
      <w:pPr>
        <w:pStyle w:val="Heading2"/>
        <w:keepNext/>
        <w:spacing w:before="200" w:after="80"/>
      </w:pPr>
      <w:r>
        <w:rPr>
          <w:rFonts w:ascii="Calibri" w:hAnsi="Calibri"/>
          <w:color w:val="2C3E50"/>
        </w:rPr>
        <w:t>3.2 Phase 2: Runtime Engine &amp; Resiliency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Title</w:t>
            </w:r>
          </w:p>
        </w:tc>
        <w:tc>
          <w:tcPr>
            <w:tcW w:type="dxa" w:w="53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Functional Specification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LangGraph StateGraph Engine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Task execution shall be governed by an acyclic state machine with nodes: intake_classifier, plan, execute, review, revise, finalize, and reject.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FR-ENG-02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SQLite WAL Checkpointing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Graph execution state shall be persisted to SQLite using SQLiteCheckpointer at each state transition to guarantee resumption after system restarts or power losses.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Headless Playwright Automation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Browser steps shall run in detached headless Chromium contexts, navigating, clicking, and filling form data without stealing system window focus.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FR-ENG-04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Multimodal Vision Fallback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Upon DOM selector timeout or failure, the system shall capture a viewport screenshot and query Gemini Vision to return pixel coordinates (x, y) for target elements.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Circuit Breakers &amp; Retries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Self-healing step retry loops shall be strictly capped at 3 attempts or 300 seconds (5 minutes) before tripping the circuit breaker and notifying the operator.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FR-ENG-06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Sandboxed Filesystem Guard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All file operations (read, write, list, mkdir, copy) shall be restricted to ~/Library/Application Support/rpa-agent-platform/workspace/ with path-traversal prevention.</w:t>
            </w:r>
          </w:p>
        </w:tc>
      </w:tr>
    </w:tbl>
    <w:p/>
    <w:p>
      <w:pPr>
        <w:pStyle w:val="Heading2"/>
        <w:keepNext/>
        <w:spacing w:before="200" w:after="80"/>
      </w:pPr>
      <w:r>
        <w:rPr>
          <w:rFonts w:ascii="Calibri" w:hAnsi="Calibri"/>
          <w:color w:val="2C3E50"/>
        </w:rPr>
        <w:t>3.3 Phase 3: Interactive Review &amp; Human-in-the-Loop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Title</w:t>
            </w:r>
          </w:p>
        </w:tc>
        <w:tc>
          <w:tcPr>
            <w:tcW w:type="dxa" w:w="53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Functional Specification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FR-HITL-01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LangGraph Interrupt Pause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agent graph MUST invoke interrupt() prior to output finalization or destructive actions, suspending thread execution in SQLite.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FR-HITL-02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Interactive Preview Modal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UI shall display an interactive preview modal rendering generated artifacts (PDF, Text, CSV, JSON) with syntax highlighting and line-number gutters.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FR-HITL-03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Approval Sign-Off Handshake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Clicking [Approve &amp; Execute] shall dispatch a resume command with decision='approve', transitioning the LangGraph engine to the finalize node.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FR-HITL-04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Incremental Diff Revisions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Clicking [Request Changes] shall dispatch user feedback to the revision node, submitting only target sections to Gemini to conserve token window depth.</w:t>
            </w:r>
          </w:p>
        </w:tc>
      </w:tr>
    </w:tbl>
    <w:p/>
    <w:p>
      <w:pPr>
        <w:pStyle w:val="Heading2"/>
        <w:keepNext/>
        <w:spacing w:before="200" w:after="80"/>
      </w:pPr>
      <w:r>
        <w:rPr>
          <w:rFonts w:ascii="Calibri" w:hAnsi="Calibri"/>
          <w:color w:val="2C3E50"/>
        </w:rPr>
        <w:t>3.4 Zero-CLI Auto-Bootstrapping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Title</w:t>
            </w:r>
          </w:p>
        </w:tc>
        <w:tc>
          <w:tcPr>
            <w:tcW w:type="dxa" w:w="53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Functional Specification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FR-BOOT-01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Platform Architecture Detection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Rust core shall inspect system architecture (x86_64, aarch64) and operating system (macos, windows, linux) via bootstrap::run_preflight().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FR-BOOT-02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Runtime Availability Sweep</w:t>
            </w:r>
          </w:p>
        </w:tc>
        <w:tc>
          <w:tcPr>
            <w:tcW w:type="dxa" w:w="53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engine shall detect presence and version of Python 3.11+, pip, Playwright browser binaries, and managed virtual environments.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FR-BOOT-03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Isolated User-Space Provisioning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Missing dependencies shall be auto-provisioned to user-space directories (~/.local, ~/.cargo, app runtime) without requiring root/admin CLI prompts.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4. External Interface Requirements</w:t>
      </w:r>
    </w:p>
    <w:p>
      <w:pPr>
        <w:pStyle w:val="Heading2"/>
        <w:keepNext/>
        <w:spacing w:before="160" w:after="80"/>
      </w:pPr>
      <w:r>
        <w:rPr>
          <w:rFonts w:ascii="Calibri" w:hAnsi="Calibri"/>
          <w:color w:val="2C3E50"/>
        </w:rPr>
        <w:t>4.1 User Interface (UI)</w:t>
      </w:r>
    </w:p>
    <w:p>
      <w:r>
        <w:t>The user interface is an enterprise dark-theme SPA designed with Tailwind CSS and Lucide React icons, consisting of:</w:t>
        <w:br/>
        <w:t>• ChatIntake: Multiline input with live character counter, status indicator dot (Idle, Running, Paused, Error), inline ethical rejection cards, and collapsible JSON manifest viewers.</w:t>
        <w:br/>
        <w:t>• AgentDashboard: Responsive glass-card grid showing saved agents, health badges, relative timestamps, and slide-out execution log history.</w:t>
        <w:br/>
        <w:t>• PreviewModal: Full-screen blurred backdrop modal with line-numbered gutters, syntax-highlighted code viewers, revision tracking, and HITL action controls.</w:t>
        <w:br/>
        <w:t>• SettingsModal: Keyring API key configuration, show/hide key toggling, system health diagnostic checklist, and one-click auto-provisioning triggers.</w:t>
      </w:r>
    </w:p>
    <w:p>
      <w:pPr>
        <w:pStyle w:val="Heading2"/>
        <w:keepNext/>
        <w:spacing w:before="160" w:after="80"/>
      </w:pPr>
      <w:r>
        <w:rPr>
          <w:rFonts w:ascii="Calibri" w:hAnsi="Calibri"/>
          <w:color w:val="2C3E50"/>
        </w:rPr>
        <w:t>4.2 Software Interfaces &amp; IPC Protocol</w:t>
      </w:r>
    </w:p>
    <w:p>
      <w:r>
        <w:t>Communication between Tauri Rust and the Python sidecar is conducted over standard input/output using a strict JSON-lines protocol: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Type</w:t>
            </w:r>
          </w:p>
        </w:tc>
        <w:tc>
          <w:tcPr>
            <w:tcW w:type="dxa" w:w="374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Payload Description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Triggering Condition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Tauri → Python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start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prompt: string, api_key: string 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User submits prompt in ChatIntake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Tauri → Python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resume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thread_id: string, decision: 'approve'|'revise', feedback: string }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Operator action in PreviewModal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Tauri → Python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cancel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thread_id: string 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Operator aborts running task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→ Tauri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status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step: string, message: string }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StateGraph node transitions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→ Tauri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safety_result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classification: 'safe'|'unsafe', reason: string 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Ethical filter completion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→ Tauri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manifest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Structured TaskManifest JSON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Planning node completion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→ Tauri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hitl_pause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draft_id: string, file_type: string, content: string 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LangGraph interrupt() encountered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→ Tauri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draft_updated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Updated DraftOutput with incremented revision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Revision node completion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Python → Tauri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completed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{ draft: object, message: string }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Finalize node execution complete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5.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46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Statement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NFR-SEC-01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Confidentiality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Zero network traffic shall leave the host machine except for direct TLS 1.3 HTTPS calls to Google Gemini API.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Packet Inspection / Firewall Analysis</w:t>
            </w:r>
          </w:p>
        </w:tc>
      </w:tr>
      <w:tr>
        <w:tc>
          <w:tcPr>
            <w:tcW w:type="dxa" w:w="129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NFR-SEC-02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Cryptographic Rigor</w:t>
            </w:r>
          </w:p>
        </w:tc>
        <w:tc>
          <w:tcPr>
            <w:tcW w:type="dxa" w:w="446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API keys stored on disk fallback must use AES-256-GCM authenticated encryption with unique nonces.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Automated Unit Tests &amp; Code Audit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NFR-PERF-01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UI Latency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desktop frontend shall render UI state updates, status badges, and keystrokes within 16ms (60 FPS).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Performance Profiling (Chrome DevTools)</w:t>
            </w:r>
          </w:p>
        </w:tc>
      </w:tr>
      <w:tr>
        <w:tc>
          <w:tcPr>
            <w:tcW w:type="dxa" w:w="129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NFR-PERF-02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Startup Time</w:t>
            </w:r>
          </w:p>
        </w:tc>
        <w:tc>
          <w:tcPr>
            <w:tcW w:type="dxa" w:w="446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Application cold startup to interactive state shall complete in less than 2.0 seconds.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Automated Benchmark Benchmarking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NFR-REL-01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Crash Recovery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System crashes during execution shall allow 100% state resumption from SQLite WAL checkpoints.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Fault Injection Testing</w:t>
            </w:r>
          </w:p>
        </w:tc>
      </w:tr>
      <w:tr>
        <w:tc>
          <w:tcPr>
            <w:tcW w:type="dxa" w:w="129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NFR-REL-02</w:t>
            </w:r>
          </w:p>
        </w:tc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Circuit Timeout</w:t>
            </w:r>
          </w:p>
        </w:tc>
        <w:tc>
          <w:tcPr>
            <w:tcW w:type="dxa" w:w="446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No automation step shall hang indefinitely; all steps trip after max 3 retries or 300s timeout.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Timeout Simulation Tests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NFR-PORT-01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Cross-Platform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The codebase shall compile and execute on macOS (Apple Silicon &amp; Intel), Windows 10/11, and Linux x86_64.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Continuous Integration Matrix (CI)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Calibri" w:hAnsi="Calibri"/>
          <w:color w:val="1F497D"/>
        </w:rPr>
        <w:t>6. Verification &amp;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F497D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ID</w:t>
            </w:r>
          </w:p>
        </w:tc>
        <w:tc>
          <w:tcPr>
            <w:tcW w:type="dxa" w:w="201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Level</w:t>
            </w:r>
          </w:p>
        </w:tc>
        <w:tc>
          <w:tcPr>
            <w:tcW w:type="dxa" w:w="374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Procedure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FR-SEC-01 / 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Unit &amp; Integration Test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Validate key store/retrieve in macOS Keychain and fallback to AES-GCM vault.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VERIFIED PASSED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FR-SEC-03 / 04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Integration Test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Execute malicious blocklist prompts (credential theft) and verify instant rejection.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VERIFIED 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FR-ENG-01 / 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Automated Graph Test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Compile LangGraph StateGraph, stream test events, and inspect SQLite WAL entries.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VERIFIED PASSED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FR-ENG-04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Vision Fallback Test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Simulate selector timeout and verify screenshot capture + Gemini vision locator.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VERIFIED 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FR-HITL-01..04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End-to-End System Test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Execute draft generation, assert interrupt() pause, modal display, and approval resume.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VERIFIED PASSED</w:t>
            </w:r>
          </w:p>
        </w:tc>
      </w:tr>
      <w:tr>
        <w:tc>
          <w:tcPr>
            <w:tcW w:type="dxa" w:w="172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FR-BOOT-01..03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System Bootstrap Test</w:t>
            </w:r>
          </w:p>
        </w:tc>
        <w:tc>
          <w:tcPr>
            <w:tcW w:type="dxa" w:w="374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Inspect clean machine detection of Python 3.11+, node v20+, and Playwright drivers.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VERIFIED PASSED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