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180"/>
      </w:pPr>
      <w:r>
        <w:rPr>
          <w:rFonts w:ascii="Arial" w:hAnsi="Arial" w:eastAsia="Arial"/>
          <w:b/>
          <w:i w:val="0"/>
          <w:color w:val="D4A842"/>
          <w:sz w:val="54"/>
        </w:rPr>
        <w:t>WEBSITE DESIGN</w:t>
      </w:r>
    </w:p>
    <w:p>
      <w:pPr>
        <w:spacing w:after="120"/>
      </w:pPr>
      <w:r>
        <w:rPr>
          <w:rFonts w:ascii="Arial" w:hAnsi="Arial" w:eastAsia="Arial"/>
          <w:b/>
          <w:i w:val="0"/>
          <w:color w:val="FFFFFF"/>
          <w:sz w:val="54"/>
        </w:rPr>
        <w:t>&amp; BUILD CONTEXT</w:t>
      </w:r>
    </w:p>
    <w:p>
      <w:pPr>
        <w:spacing w:after="400"/>
        <w:pBdr>
          <w:bottom w:val="single" w:sz="10" w:space="6" w:color="B58A2C"/>
        </w:pBdr>
      </w:pPr>
      <w:r>
        <w:rPr>
          <w:rFonts w:ascii="Arial" w:hAnsi="Arial" w:eastAsia="Arial"/>
          <w:b w:val="0"/>
          <w:i w:val="0"/>
          <w:color w:val="FFFFFF"/>
          <w:sz w:val="26"/>
        </w:rPr>
        <w:t>Supplement to the Finalized Janke LLP Brand Package</w:t>
      </w:r>
    </w:p>
    <w:p>
      <w:pPr>
        <w:spacing w:before="360" w:after="160"/>
      </w:pPr>
      <w:r>
        <w:rPr>
          <w:rFonts w:ascii="Arial" w:hAnsi="Arial" w:eastAsia="Arial"/>
          <w:b/>
          <w:i w:val="0"/>
          <w:color w:val="D4A842"/>
          <w:sz w:val="22"/>
        </w:rPr>
        <w:t>Purpose</w:t>
      </w:r>
    </w:p>
    <w:p>
      <w:pPr>
        <w:keepNext w:val="0"/>
        <w:spacing w:before="0" w:after="140" w:line="269" w:lineRule="auto"/>
      </w:pPr>
      <w:r>
        <w:rPr>
          <w:rFonts w:ascii="Arial" w:hAnsi="Arial" w:eastAsia="Arial"/>
          <w:b w:val="0"/>
          <w:i w:val="0"/>
          <w:color w:val="FFFFFF"/>
          <w:sz w:val="23"/>
        </w:rPr>
        <w:t>A consolidated handoff of website-specific strategy, design rationale, content priorities and implementation context discussed during the brand-development project.</w:t>
      </w:r>
    </w:p>
    <w:p>
      <w:pPr>
        <w:keepNext w:val="0"/>
        <w:spacing w:before="0" w:after="0" w:line="264" w:lineRule="auto"/>
      </w:pPr>
      <w:r>
        <w:rPr>
          <w:rFonts w:ascii="Arial" w:hAnsi="Arial" w:eastAsia="Arial"/>
          <w:b w:val="0"/>
          <w:i w:val="0"/>
          <w:color w:val="E8E6E1"/>
          <w:sz w:val="21"/>
        </w:rPr>
        <w:t>Use with the approved Brand Guide, Quick Reference and templates. It does not replace them or create a new visual identity.</w:t>
      </w:r>
    </w:p>
    <w:p>
      <w:r>
        <w:br w:type="page"/>
      </w:r>
    </w:p>
    <w:p>
      <w:pPr>
        <w:keepNext/>
        <w:spacing w:before="80" w:after="160" w:line="259" w:lineRule="auto"/>
        <w:pBdr>
          <w:bottom w:val="single" w:sz="8" w:space="4" w:color="B58A2C"/>
        </w:pBdr>
      </w:pPr>
      <w:r>
        <w:rPr>
          <w:rFonts w:ascii="Arial" w:hAnsi="Arial" w:eastAsia="Arial"/>
          <w:b/>
          <w:i w:val="0"/>
          <w:color w:val="B58A2C"/>
          <w:sz w:val="20"/>
        </w:rPr>
        <w:t>01</w:t>
      </w:r>
      <w:r>
        <w:t xml:space="preserve">  </w:t>
      </w:r>
      <w:r>
        <w:rPr>
          <w:rFonts w:ascii="Arial" w:hAnsi="Arial" w:eastAsia="Arial"/>
          <w:b/>
          <w:i w:val="0"/>
          <w:color w:val="111111"/>
          <w:sz w:val="38"/>
        </w:rPr>
        <w:t>The website north star</w:t>
      </w:r>
    </w:p>
    <w:p>
      <w:pPr>
        <w:keepNext w:val="0"/>
        <w:spacing w:before="0" w:after="240" w:line="264" w:lineRule="auto"/>
      </w:pPr>
      <w:r>
        <w:rPr>
          <w:rFonts w:ascii="Arial" w:hAnsi="Arial" w:eastAsia="Arial"/>
          <w:b w:val="0"/>
          <w:i/>
          <w:color w:val="686868"/>
          <w:sz w:val="21"/>
        </w:rPr>
        <w:t>The site should make Janke LLP easier to understand, easier to approach and more credible before the first conversation.</w:t>
      </w:r>
    </w:p>
    <w:tbl>
      <w:tblPr>
        <w:tblW w:type="auto" w:w="0"/>
        <w:jc w:val="center"/>
        <w:tblLayout w:type="fixed"/>
        <w:tblLook w:firstColumn="1" w:firstRow="1" w:lastColumn="0" w:lastRow="0" w:noHBand="0" w:noVBand="1" w:val="04A0"/>
      </w:tblPr>
      <w:tblGrid>
        <w:gridCol w:w="9648"/>
      </w:tblGrid>
      <w:tr>
        <w:tc>
          <w:tcPr>
            <w:tcW w:type="dxa" w:w="9994"/>
            <w:tcMar>
              <w:top w:w="150" w:type="dxa"/>
              <w:start w:w="180" w:type="dxa"/>
              <w:bottom w:w="150" w:type="dxa"/>
              <w:end w:w="180" w:type="dxa"/>
            </w:tcMar>
            <w:shd w:fill="111111"/>
          </w:tcPr>
          <w:p>
            <w:pPr>
              <w:keepNext w:val="0"/>
              <w:spacing w:before="0" w:after="100" w:line="259" w:lineRule="auto"/>
            </w:pPr>
            <w:r>
              <w:rPr>
                <w:rFonts w:ascii="Arial" w:hAnsi="Arial" w:eastAsia="Arial"/>
                <w:b/>
                <w:i w:val="0"/>
                <w:color w:val="D4A842"/>
                <w:sz w:val="19"/>
              </w:rPr>
              <w:t>CORE POSITIONING</w:t>
            </w:r>
          </w:p>
          <w:p>
            <w:pPr>
              <w:keepNext w:val="0"/>
              <w:spacing w:before="0" w:after="0" w:line="264" w:lineRule="auto"/>
            </w:pPr>
            <w:r>
              <w:rPr>
                <w:rFonts w:ascii="Arial" w:hAnsi="Arial" w:eastAsia="Arial"/>
                <w:b w:val="0"/>
                <w:i w:val="0"/>
                <w:color w:val="FFFFFF"/>
                <w:sz w:val="20"/>
              </w:rPr>
              <w:t>Janke LLP is an advisory-led CPA firm providing sophisticated advice with practical clarity for Saskatchewan businesses, professionals, farms and families.</w:t>
            </w:r>
          </w:p>
        </w:tc>
      </w:tr>
    </w:tbl>
    <w:p>
      <w:pPr>
        <w:spacing w:after="60"/>
      </w:pPr>
    </w:p>
    <w:p>
      <w:pPr>
        <w:keepNext w:val="0"/>
        <w:spacing w:before="0" w:after="120" w:line="264" w:lineRule="auto"/>
        <w:jc w:val="both"/>
      </w:pPr>
      <w:r>
        <w:rPr>
          <w:rFonts w:ascii="Arial" w:hAnsi="Arial" w:eastAsia="Arial"/>
          <w:b w:val="0"/>
          <w:i w:val="0"/>
          <w:color w:val="111111"/>
          <w:sz w:val="21"/>
        </w:rPr>
        <w:t>Public-facing communications should lead with outcomes, decisions and opportunities rather than compliance deliverables alone. The technical depth is important, but the first thing a visitor should understand is what Janke LLP helps them improve, protect, decide or accomplish.</w:t>
      </w:r>
    </w:p>
    <w:p>
      <w:pPr>
        <w:keepNext w:val="0"/>
        <w:spacing w:before="0" w:after="120" w:line="264" w:lineRule="auto"/>
        <w:jc w:val="both"/>
      </w:pPr>
      <w:r>
        <w:rPr>
          <w:rFonts w:ascii="Arial" w:hAnsi="Arial" w:eastAsia="Arial"/>
          <w:b w:val="0"/>
          <w:i w:val="0"/>
          <w:color w:val="111111"/>
          <w:sz w:val="21"/>
        </w:rPr>
        <w:t>The desired feel is professionally sophisticated and technically credible; practical, understandable and useful; personally accessible and relationship-driven; community-rooted and Saskatchewan-aware; modern without being trendy; and confident without feeling impersonal or overly corporate.</w:t>
      </w:r>
    </w:p>
    <w:tbl>
      <w:tblPr>
        <w:tblW w:type="auto" w:w="0"/>
        <w:jc w:val="center"/>
        <w:tblLayout w:type="fixed"/>
        <w:tblLook w:firstColumn="1" w:firstRow="1" w:lastColumn="0" w:lastRow="0" w:noHBand="0" w:noVBand="1" w:val="04A0"/>
      </w:tblPr>
      <w:tblGrid>
        <w:gridCol w:w="9648"/>
      </w:tblGrid>
      <w:tr>
        <w:tc>
          <w:tcPr>
            <w:tcW w:type="dxa" w:w="9994"/>
            <w:tcMar>
              <w:top w:w="150" w:type="dxa"/>
              <w:start w:w="180" w:type="dxa"/>
              <w:bottom w:w="150" w:type="dxa"/>
              <w:end w:w="180" w:type="dxa"/>
            </w:tcMar>
            <w:shd w:fill="F7F5F0"/>
          </w:tcPr>
          <w:p>
            <w:pPr>
              <w:keepNext w:val="0"/>
              <w:spacing w:before="0" w:after="100" w:line="259" w:lineRule="auto"/>
            </w:pPr>
            <w:r>
              <w:rPr>
                <w:rFonts w:ascii="Arial" w:hAnsi="Arial" w:eastAsia="Arial"/>
                <w:b/>
                <w:i w:val="0"/>
                <w:color w:val="B58A2C"/>
                <w:sz w:val="19"/>
              </w:rPr>
              <w:t>INTERNAL DESIGN RATIONALE</w:t>
            </w:r>
          </w:p>
          <w:p>
            <w:pPr>
              <w:keepNext w:val="0"/>
              <w:spacing w:before="0" w:after="0" w:line="264" w:lineRule="auto"/>
            </w:pPr>
            <w:r>
              <w:rPr>
                <w:rFonts w:ascii="Arial" w:hAnsi="Arial" w:eastAsia="Arial"/>
                <w:b w:val="0"/>
                <w:i w:val="0"/>
                <w:color w:val="111111"/>
                <w:sz w:val="20"/>
              </w:rPr>
              <w:t>A key working preference behind the final visual direction was that black and white feel “simple and straight forward … just like our advice.” Prairie Gold was chosen as the rare premium accent, not as a competing primary colour.</w:t>
            </w:r>
          </w:p>
        </w:tc>
      </w:tr>
    </w:tbl>
    <w:p>
      <w:pPr>
        <w:spacing w:after="60"/>
      </w:pPr>
    </w:p>
    <w:p>
      <w:pPr>
        <w:keepNext w:val="0"/>
        <w:spacing w:before="0" w:after="120" w:line="264" w:lineRule="auto"/>
        <w:jc w:val="both"/>
      </w:pPr>
      <w:r>
        <w:rPr>
          <w:rFonts w:ascii="Arial" w:hAnsi="Arial" w:eastAsia="Arial"/>
          <w:b w:val="0"/>
          <w:i w:val="0"/>
          <w:color w:val="111111"/>
          <w:sz w:val="21"/>
        </w:rPr>
        <w:t>Competitive differentiation is part of the visual intent. An earlier teal / neutral / sage direction was rejected because it felt too close to a major accounting competitor. The website should not drift back toward a teal, sage or navy-led accounting-firm aesthetic.</w:t>
      </w:r>
    </w:p>
    <w:p>
      <w:r>
        <w:br w:type="page"/>
      </w:r>
    </w:p>
    <w:p>
      <w:pPr>
        <w:keepNext/>
        <w:spacing w:before="80" w:after="160" w:line="259" w:lineRule="auto"/>
        <w:pBdr>
          <w:bottom w:val="single" w:sz="8" w:space="4" w:color="B58A2C"/>
        </w:pBdr>
      </w:pPr>
      <w:r>
        <w:rPr>
          <w:rFonts w:ascii="Arial" w:hAnsi="Arial" w:eastAsia="Arial"/>
          <w:b/>
          <w:i w:val="0"/>
          <w:color w:val="B58A2C"/>
          <w:sz w:val="20"/>
        </w:rPr>
        <w:t>02</w:t>
      </w:r>
      <w:r>
        <w:t xml:space="preserve">  </w:t>
      </w:r>
      <w:r>
        <w:rPr>
          <w:rFonts w:ascii="Arial" w:hAnsi="Arial" w:eastAsia="Arial"/>
          <w:b/>
          <w:i w:val="0"/>
          <w:color w:val="111111"/>
          <w:sz w:val="38"/>
        </w:rPr>
        <w:t>Audience and decision context</w:t>
      </w:r>
    </w:p>
    <w:p>
      <w:pPr>
        <w:keepNext w:val="0"/>
        <w:spacing w:before="0" w:after="240" w:line="264" w:lineRule="auto"/>
      </w:pPr>
      <w:r>
        <w:rPr>
          <w:rFonts w:ascii="Arial" w:hAnsi="Arial" w:eastAsia="Arial"/>
          <w:b w:val="0"/>
          <w:i/>
          <w:color w:val="686868"/>
          <w:sz w:val="21"/>
        </w:rPr>
        <w:t>The website should help visitors recognize themselves by the decisions and opportunities they face, not only by technical service labels.</w:t>
      </w:r>
    </w:p>
    <w:tbl>
      <w:tblPr>
        <w:tblW w:type="auto" w:w="0"/>
        <w:jc w:val="center"/>
        <w:tblLayout w:type="fixed"/>
        <w:tblLook w:firstColumn="1" w:firstRow="1" w:lastColumn="0" w:lastRow="0" w:noHBand="0" w:noVBand="1" w:val="04A0"/>
        <w:tblBorders>
          <w:top w:val="single" w:sz="4" w:space="0" w:color="C9C5BD"/>
          <w:left w:val="single" w:sz="4" w:space="0" w:color="C9C5BD"/>
          <w:bottom w:val="single" w:sz="4" w:space="0" w:color="C9C5BD"/>
          <w:right w:val="single" w:sz="4" w:space="0" w:color="C9C5BD"/>
          <w:insideH w:val="single" w:sz="4" w:space="0" w:color="C9C5BD"/>
          <w:insideV w:val="single" w:sz="4" w:space="0" w:color="C9C5BD"/>
        </w:tblBorders>
      </w:tblPr>
      <w:tblGrid>
        <w:gridCol w:w="4997"/>
        <w:gridCol w:w="4997"/>
      </w:tblGrid>
      <w:tr>
        <w:tc>
          <w:tcPr>
            <w:tcW w:type="dxa" w:w="3672"/>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Priority client group</w:t>
            </w:r>
          </w:p>
        </w:tc>
        <w:tc>
          <w:tcPr>
            <w:tcW w:type="dxa" w:w="5760"/>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Typical decisions and opportunities</w:t>
            </w:r>
          </w:p>
        </w:tc>
      </w:tr>
      <w:tr>
        <w:tc>
          <w:tcPr>
            <w:tcW w:type="dxa" w:w="3672"/>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Owner-managed and family businesses</w:t>
            </w:r>
          </w:p>
        </w:tc>
        <w:tc>
          <w:tcPr>
            <w:tcW w:type="dxa" w:w="576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Growth, profitability, structure, financing, transition and owner decisions</w:t>
            </w:r>
          </w:p>
        </w:tc>
      </w:tr>
      <w:tr>
        <w:tc>
          <w:tcPr>
            <w:tcW w:type="dxa" w:w="3672"/>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Agriculture and agribusiness</w:t>
            </w:r>
          </w:p>
        </w:tc>
        <w:tc>
          <w:tcPr>
            <w:tcW w:type="dxa" w:w="576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Farm transition, tax planning, ownership, expansion and risk</w:t>
            </w:r>
          </w:p>
        </w:tc>
      </w:tr>
      <w:tr>
        <w:tc>
          <w:tcPr>
            <w:tcW w:type="dxa" w:w="3672"/>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Legal, financial and medical professionals</w:t>
            </w:r>
          </w:p>
        </w:tc>
        <w:tc>
          <w:tcPr>
            <w:tcW w:type="dxa" w:w="576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Practice structure, compensation, tax, succession and wealth</w:t>
            </w:r>
          </w:p>
        </w:tc>
      </w:tr>
      <w:tr>
        <w:tc>
          <w:tcPr>
            <w:tcW w:type="dxa" w:w="3672"/>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Succession, tax and family-wealth planning</w:t>
            </w:r>
          </w:p>
        </w:tc>
        <w:tc>
          <w:tcPr>
            <w:tcW w:type="dxa" w:w="576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Intergenerational transition, estate, ownership and long-term planning</w:t>
            </w:r>
          </w:p>
        </w:tc>
      </w:tr>
    </w:tbl>
    <w:p>
      <w:pPr>
        <w:spacing w:after="80"/>
      </w:pPr>
    </w:p>
    <w:p>
      <w:pPr>
        <w:keepNext w:val="0"/>
        <w:spacing w:before="0" w:after="120" w:line="264" w:lineRule="auto"/>
        <w:jc w:val="both"/>
      </w:pPr>
      <w:r>
        <w:rPr>
          <w:rFonts w:ascii="Arial" w:hAnsi="Arial" w:eastAsia="Arial"/>
          <w:b w:val="0"/>
          <w:i w:val="0"/>
          <w:color w:val="111111"/>
          <w:sz w:val="21"/>
        </w:rPr>
        <w:t>The brand is firm-first, supported by visible individual experts. Janke LLP should remain the principal identity, while selected team members are shown by name, designation and area of expertise where that helps establish trust and relevance.</w:t>
      </w:r>
    </w:p>
    <w:p>
      <w:pPr>
        <w:keepNext w:val="0"/>
        <w:spacing w:before="0" w:after="120" w:line="264" w:lineRule="auto"/>
        <w:jc w:val="both"/>
      </w:pPr>
      <w:r>
        <w:rPr>
          <w:rFonts w:ascii="Arial" w:hAnsi="Arial" w:eastAsia="Arial"/>
          <w:b w:val="0"/>
          <w:i w:val="0"/>
          <w:color w:val="111111"/>
          <w:sz w:val="21"/>
        </w:rPr>
        <w:t>Geography is a supporting proof point, not the lead message. The preferred working line is: “Rooted in Northeast Saskatchewan. Serving clients throughout Saskatchewan.” It is appropriate on the About page, in footers, careers content and selected campaigns, but should not replace a stronger client-need-led hero message.</w:t>
      </w:r>
    </w:p>
    <w:p>
      <w:r>
        <w:br w:type="page"/>
      </w:r>
    </w:p>
    <w:p>
      <w:pPr>
        <w:keepNext/>
        <w:spacing w:before="80" w:after="160" w:line="259" w:lineRule="auto"/>
        <w:pBdr>
          <w:bottom w:val="single" w:sz="8" w:space="4" w:color="B58A2C"/>
        </w:pBdr>
      </w:pPr>
      <w:r>
        <w:rPr>
          <w:rFonts w:ascii="Arial" w:hAnsi="Arial" w:eastAsia="Arial"/>
          <w:b/>
          <w:i w:val="0"/>
          <w:color w:val="B58A2C"/>
          <w:sz w:val="20"/>
        </w:rPr>
        <w:t>03</w:t>
      </w:r>
      <w:r>
        <w:t xml:space="preserve">  </w:t>
      </w:r>
      <w:r>
        <w:rPr>
          <w:rFonts w:ascii="Arial" w:hAnsi="Arial" w:eastAsia="Arial"/>
          <w:b/>
          <w:i w:val="0"/>
          <w:color w:val="111111"/>
          <w:sz w:val="38"/>
        </w:rPr>
        <w:t>Website journey and calls to action</w:t>
      </w:r>
    </w:p>
    <w:p>
      <w:pPr>
        <w:keepNext w:val="0"/>
        <w:spacing w:before="0" w:after="240" w:line="264" w:lineRule="auto"/>
      </w:pPr>
      <w:r>
        <w:rPr>
          <w:rFonts w:ascii="Arial" w:hAnsi="Arial" w:eastAsia="Arial"/>
          <w:b w:val="0"/>
          <w:i/>
          <w:color w:val="686868"/>
          <w:sz w:val="21"/>
        </w:rPr>
        <w:t>The approved website direction is client-needs-led navigation supported by industry pages. Exact final navigation labels were not separately approved in the brand project.</w:t>
      </w:r>
    </w:p>
    <w:p>
      <w:pPr>
        <w:keepNext w:val="0"/>
        <w:spacing w:before="0" w:after="120" w:line="264" w:lineRule="auto"/>
        <w:jc w:val="both"/>
      </w:pPr>
      <w:r>
        <w:rPr>
          <w:rFonts w:ascii="Arial" w:hAnsi="Arial" w:eastAsia="Arial"/>
          <w:b w:val="0"/>
          <w:i w:val="0"/>
          <w:color w:val="111111"/>
          <w:sz w:val="21"/>
        </w:rPr>
        <w:t>Main navigation should help visitors recognize the decision, opportunity or desired outcome they are facing. Industry pages then provide context and proof that Janke LLP understands the realities of the sector or profession.</w:t>
      </w:r>
    </w:p>
    <w:tbl>
      <w:tblPr>
        <w:tblW w:type="auto" w:w="0"/>
        <w:jc w:val="center"/>
        <w:tblLayout w:type="fixed"/>
        <w:tblLook w:firstColumn="1" w:firstRow="1" w:lastColumn="0" w:lastRow="0" w:noHBand="0" w:noVBand="1" w:val="04A0"/>
      </w:tblPr>
      <w:tblGrid>
        <w:gridCol w:w="9648"/>
      </w:tblGrid>
      <w:tr>
        <w:tc>
          <w:tcPr>
            <w:tcW w:type="dxa" w:w="9994"/>
            <w:tcMar>
              <w:top w:w="150" w:type="dxa"/>
              <w:start w:w="180" w:type="dxa"/>
              <w:bottom w:w="150" w:type="dxa"/>
              <w:end w:w="180" w:type="dxa"/>
            </w:tcMar>
            <w:shd w:fill="111111"/>
          </w:tcPr>
          <w:p>
            <w:pPr>
              <w:keepNext w:val="0"/>
              <w:spacing w:before="0" w:after="100" w:line="259" w:lineRule="auto"/>
            </w:pPr>
            <w:r>
              <w:rPr>
                <w:rFonts w:ascii="Arial" w:hAnsi="Arial" w:eastAsia="Arial"/>
                <w:b/>
                <w:i w:val="0"/>
                <w:color w:val="D4A842"/>
                <w:sz w:val="19"/>
              </w:rPr>
              <w:t>PRIMARY WEBSITE PROMPT</w:t>
            </w:r>
          </w:p>
          <w:p>
            <w:pPr>
              <w:keepNext w:val="0"/>
              <w:spacing w:before="0" w:after="0" w:line="264" w:lineRule="auto"/>
            </w:pPr>
            <w:r>
              <w:rPr>
                <w:rFonts w:ascii="Arial" w:hAnsi="Arial" w:eastAsia="Arial"/>
                <w:b w:val="0"/>
                <w:i w:val="0"/>
                <w:color w:val="FFFFFF"/>
                <w:sz w:val="20"/>
              </w:rPr>
              <w:t>WHAT DOES BETTER LOOK LIKE?</w:t>
              <w:br/>
              <w:br/>
              <w:t>This is the primary website prompt and a recurring strategic question. It invites clients to think about learning, growth, improvement and possibility before discussing services.</w:t>
            </w:r>
          </w:p>
        </w:tc>
      </w:tr>
    </w:tbl>
    <w:p>
      <w:pPr>
        <w:spacing w:after="60"/>
      </w:pPr>
    </w:p>
    <w:tbl>
      <w:tblPr>
        <w:tblW w:type="auto" w:w="0"/>
        <w:jc w:val="center"/>
        <w:tblLayout w:type="fixed"/>
        <w:tblLook w:firstColumn="1" w:firstRow="1" w:lastColumn="0" w:lastRow="0" w:noHBand="0" w:noVBand="1" w:val="04A0"/>
        <w:tblBorders>
          <w:top w:val="single" w:sz="4" w:space="0" w:color="C9C5BD"/>
          <w:left w:val="single" w:sz="4" w:space="0" w:color="C9C5BD"/>
          <w:bottom w:val="single" w:sz="4" w:space="0" w:color="C9C5BD"/>
          <w:right w:val="single" w:sz="4" w:space="0" w:color="C9C5BD"/>
          <w:insideH w:val="single" w:sz="4" w:space="0" w:color="C9C5BD"/>
          <w:insideV w:val="single" w:sz="4" w:space="0" w:color="C9C5BD"/>
        </w:tblBorders>
      </w:tblPr>
      <w:tblGrid>
        <w:gridCol w:w="4997"/>
        <w:gridCol w:w="4997"/>
      </w:tblGrid>
      <w:tr>
        <w:tc>
          <w:tcPr>
            <w:tcW w:type="dxa" w:w="2232"/>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Role</w:t>
            </w:r>
          </w:p>
        </w:tc>
        <w:tc>
          <w:tcPr>
            <w:tcW w:type="dxa" w:w="7200"/>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Approved wording / direction</w:t>
            </w:r>
          </w:p>
        </w:tc>
      </w:tr>
      <w:tr>
        <w:tc>
          <w:tcPr>
            <w:tcW w:type="dxa" w:w="2232"/>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Primary button</w:t>
            </w:r>
          </w:p>
        </w:tc>
        <w:tc>
          <w:tcPr>
            <w:tcW w:type="dxa" w:w="72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Start the conversation</w:t>
            </w:r>
          </w:p>
        </w:tc>
      </w:tr>
      <w:tr>
        <w:tc>
          <w:tcPr>
            <w:tcW w:type="dxa" w:w="2232"/>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Supporting CTA</w:t>
            </w:r>
          </w:p>
        </w:tc>
        <w:tc>
          <w:tcPr>
            <w:tcW w:type="dxa" w:w="72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Tell us what you are working toward</w:t>
            </w:r>
          </w:p>
        </w:tc>
      </w:tr>
      <w:tr>
        <w:tc>
          <w:tcPr>
            <w:tcW w:type="dxa" w:w="2232"/>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Supporting CTA</w:t>
            </w:r>
          </w:p>
        </w:tc>
        <w:tc>
          <w:tcPr>
            <w:tcW w:type="dxa" w:w="72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Explore what is possible</w:t>
            </w:r>
          </w:p>
        </w:tc>
      </w:tr>
      <w:tr>
        <w:tc>
          <w:tcPr>
            <w:tcW w:type="dxa" w:w="2232"/>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Supporting CTA</w:t>
            </w:r>
          </w:p>
        </w:tc>
        <w:tc>
          <w:tcPr>
            <w:tcW w:type="dxa" w:w="72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See how we can help</w:t>
            </w:r>
          </w:p>
        </w:tc>
      </w:tr>
      <w:tr>
        <w:tc>
          <w:tcPr>
            <w:tcW w:type="dxa" w:w="2232"/>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Supporting line</w:t>
            </w:r>
          </w:p>
        </w:tc>
        <w:tc>
          <w:tcPr>
            <w:tcW w:type="dxa" w:w="72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Grounded advice. Grow better. — use selectively; never attach it to the logo</w:t>
            </w:r>
          </w:p>
        </w:tc>
      </w:tr>
    </w:tbl>
    <w:p>
      <w:pPr>
        <w:spacing w:after="80"/>
      </w:pPr>
    </w:p>
    <w:p>
      <w:pPr>
        <w:keepNext w:val="0"/>
        <w:spacing w:before="0" w:after="120" w:line="264" w:lineRule="auto"/>
        <w:jc w:val="both"/>
      </w:pPr>
      <w:r>
        <w:rPr>
          <w:rFonts w:ascii="Arial" w:hAnsi="Arial" w:eastAsia="Arial"/>
          <w:b w:val="0"/>
          <w:i w:val="0"/>
          <w:color w:val="111111"/>
          <w:sz w:val="21"/>
        </w:rPr>
        <w:t>For intake, the direction is a guided, qualified conversation rather than unrestricted calendar booking. The visitor should be able to explain what they are working toward so the inquiry can be routed appropriately.</w:t>
      </w:r>
    </w:p>
    <w:p>
      <w:r>
        <w:br w:type="page"/>
      </w:r>
    </w:p>
    <w:p>
      <w:pPr>
        <w:keepNext/>
        <w:spacing w:before="80" w:after="160" w:line="259" w:lineRule="auto"/>
        <w:pBdr>
          <w:bottom w:val="single" w:sz="8" w:space="4" w:color="B58A2C"/>
        </w:pBdr>
      </w:pPr>
      <w:r>
        <w:rPr>
          <w:rFonts w:ascii="Arial" w:hAnsi="Arial" w:eastAsia="Arial"/>
          <w:b/>
          <w:i w:val="0"/>
          <w:color w:val="B58A2C"/>
          <w:sz w:val="20"/>
        </w:rPr>
        <w:t>04</w:t>
      </w:r>
      <w:r>
        <w:t xml:space="preserve">  </w:t>
      </w:r>
      <w:r>
        <w:rPr>
          <w:rFonts w:ascii="Arial" w:hAnsi="Arial" w:eastAsia="Arial"/>
          <w:b/>
          <w:i w:val="0"/>
          <w:color w:val="111111"/>
          <w:sz w:val="38"/>
        </w:rPr>
        <w:t>Page-writing system</w:t>
      </w:r>
    </w:p>
    <w:p>
      <w:pPr>
        <w:keepNext w:val="0"/>
        <w:spacing w:before="0" w:after="240" w:line="264" w:lineRule="auto"/>
      </w:pPr>
      <w:r>
        <w:rPr>
          <w:rFonts w:ascii="Arial" w:hAnsi="Arial" w:eastAsia="Arial"/>
          <w:b w:val="0"/>
          <w:i/>
          <w:color w:val="686868"/>
          <w:sz w:val="21"/>
        </w:rPr>
        <w:t>Copy should sound like a highly capable adviser speaking clearly to a real person: calm, direct, useful and appropriately warm.</w:t>
      </w:r>
    </w:p>
    <w:p>
      <w:pPr>
        <w:keepNext w:val="0"/>
        <w:spacing w:before="0" w:after="120" w:line="264" w:lineRule="auto"/>
        <w:jc w:val="both"/>
      </w:pPr>
      <w:r>
        <w:rPr>
          <w:rFonts w:ascii="Arial" w:hAnsi="Arial" w:eastAsia="Arial"/>
          <w:b w:val="0"/>
          <w:i w:val="0"/>
          <w:color w:val="111111"/>
          <w:sz w:val="21"/>
        </w:rPr>
        <w:t>For service pages, the approved content structure is:</w:t>
      </w:r>
    </w:p>
    <w:p>
      <w:pPr>
        <w:pStyle w:val="ListBullet"/>
        <w:keepNext w:val="0"/>
        <w:spacing w:before="0" w:after="60" w:line="259" w:lineRule="auto"/>
      </w:pPr>
      <w:r>
        <w:rPr>
          <w:rFonts w:ascii="Arial" w:hAnsi="Arial" w:eastAsia="Arial"/>
          <w:b w:val="0"/>
          <w:i w:val="0"/>
          <w:color w:val="111111"/>
          <w:sz w:val="20"/>
        </w:rPr>
        <w:t>The client situation, decision or problem</w:t>
      </w:r>
    </w:p>
    <w:p>
      <w:pPr>
        <w:pStyle w:val="ListBullet"/>
        <w:keepNext w:val="0"/>
        <w:spacing w:before="0" w:after="60" w:line="259" w:lineRule="auto"/>
      </w:pPr>
      <w:r>
        <w:rPr>
          <w:rFonts w:ascii="Arial" w:hAnsi="Arial" w:eastAsia="Arial"/>
          <w:b w:val="0"/>
          <w:i w:val="0"/>
          <w:color w:val="111111"/>
          <w:sz w:val="20"/>
        </w:rPr>
        <w:t>How Janke LLP helps</w:t>
      </w:r>
    </w:p>
    <w:p>
      <w:pPr>
        <w:pStyle w:val="ListBullet"/>
        <w:keepNext w:val="0"/>
        <w:spacing w:before="0" w:after="60" w:line="259" w:lineRule="auto"/>
      </w:pPr>
      <w:r>
        <w:rPr>
          <w:rFonts w:ascii="Arial" w:hAnsi="Arial" w:eastAsia="Arial"/>
          <w:b w:val="0"/>
          <w:i w:val="0"/>
          <w:color w:val="111111"/>
          <w:sz w:val="20"/>
        </w:rPr>
        <w:t>The practical outcomes</w:t>
      </w:r>
    </w:p>
    <w:p>
      <w:pPr>
        <w:pStyle w:val="ListBullet"/>
        <w:keepNext w:val="0"/>
        <w:spacing w:before="0" w:after="60" w:line="259" w:lineRule="auto"/>
      </w:pPr>
      <w:r>
        <w:rPr>
          <w:rFonts w:ascii="Arial" w:hAnsi="Arial" w:eastAsia="Arial"/>
          <w:b w:val="0"/>
          <w:i w:val="0"/>
          <w:color w:val="111111"/>
          <w:sz w:val="20"/>
        </w:rPr>
        <w:t>Who the service is best suited for</w:t>
      </w:r>
    </w:p>
    <w:p>
      <w:pPr>
        <w:pStyle w:val="ListBullet"/>
        <w:keepNext w:val="0"/>
        <w:spacing w:before="0" w:after="60" w:line="259" w:lineRule="auto"/>
      </w:pPr>
      <w:r>
        <w:rPr>
          <w:rFonts w:ascii="Arial" w:hAnsi="Arial" w:eastAsia="Arial"/>
          <w:b w:val="0"/>
          <w:i w:val="0"/>
          <w:color w:val="111111"/>
          <w:sz w:val="20"/>
        </w:rPr>
        <w:t>A clear, low-pressure next step</w:t>
      </w:r>
    </w:p>
    <w:p>
      <w:pPr>
        <w:keepNext w:val="0"/>
        <w:spacing w:before="0" w:after="120" w:line="264" w:lineRule="auto"/>
        <w:jc w:val="both"/>
      </w:pPr>
      <w:r>
        <w:rPr>
          <w:rFonts w:ascii="Arial" w:hAnsi="Arial" w:eastAsia="Arial"/>
          <w:b w:val="0"/>
          <w:i w:val="0"/>
          <w:color w:val="111111"/>
          <w:sz w:val="21"/>
        </w:rPr>
        <w:t>Industry pages should demonstrate understanding rather than simply restating service lists. Use sector-specific decisions, examples, language and photography where they are accurate and useful.</w:t>
      </w:r>
    </w:p>
    <w:tbl>
      <w:tblPr>
        <w:tblW w:type="auto" w:w="0"/>
        <w:jc w:val="center"/>
        <w:tblLayout w:type="fixed"/>
        <w:tblLook w:firstColumn="1" w:firstRow="1" w:lastColumn="0" w:lastRow="0" w:noHBand="0" w:noVBand="1" w:val="04A0"/>
        <w:tblBorders>
          <w:top w:val="single" w:sz="4" w:space="0" w:color="C9C5BD"/>
          <w:left w:val="single" w:sz="4" w:space="0" w:color="C9C5BD"/>
          <w:bottom w:val="single" w:sz="4" w:space="0" w:color="C9C5BD"/>
          <w:right w:val="single" w:sz="4" w:space="0" w:color="C9C5BD"/>
          <w:insideH w:val="single" w:sz="4" w:space="0" w:color="C9C5BD"/>
          <w:insideV w:val="single" w:sz="4" w:space="0" w:color="C9C5BD"/>
        </w:tblBorders>
      </w:tblPr>
      <w:tblGrid>
        <w:gridCol w:w="4997"/>
        <w:gridCol w:w="4997"/>
      </w:tblGrid>
      <w:tr>
        <w:tc>
          <w:tcPr>
            <w:tcW w:type="dxa" w:w="2448"/>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Context</w:t>
            </w:r>
          </w:p>
        </w:tc>
        <w:tc>
          <w:tcPr>
            <w:tcW w:type="dxa" w:w="6984"/>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Voice direction</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Core tone</w:t>
            </w:r>
          </w:p>
        </w:tc>
        <w:tc>
          <w:tcPr>
            <w:tcW w:type="dxa" w:w="698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Professional, plainspoken, warm and confident</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Website and social</w:t>
            </w:r>
          </w:p>
        </w:tc>
        <w:tc>
          <w:tcPr>
            <w:tcW w:type="dxa" w:w="6984"/>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More conversational, human and inviting</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Careers and education</w:t>
            </w:r>
          </w:p>
        </w:tc>
        <w:tc>
          <w:tcPr>
            <w:tcW w:type="dxa" w:w="698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Encouraging, useful and opportunity-focused</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Formal advice</w:t>
            </w:r>
          </w:p>
        </w:tc>
        <w:tc>
          <w:tcPr>
            <w:tcW w:type="dxa" w:w="6984"/>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Restrained, precise and technically credible</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Humour</w:t>
            </w:r>
          </w:p>
        </w:tc>
        <w:tc>
          <w:tcPr>
            <w:tcW w:type="dxa" w:w="698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Limited, tasteful and situational</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Jargon</w:t>
            </w:r>
          </w:p>
        </w:tc>
        <w:tc>
          <w:tcPr>
            <w:tcW w:type="dxa" w:w="6984"/>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Avoid where plain language is available</w:t>
            </w:r>
          </w:p>
        </w:tc>
      </w:tr>
    </w:tbl>
    <w:p>
      <w:pPr>
        <w:spacing w:after="80"/>
      </w:pPr>
    </w:p>
    <w:p>
      <w:pPr>
        <w:keepNext w:val="0"/>
        <w:spacing w:before="0" w:after="120" w:line="264" w:lineRule="auto"/>
        <w:jc w:val="both"/>
      </w:pPr>
      <w:r>
        <w:rPr>
          <w:rFonts w:ascii="Arial" w:hAnsi="Arial" w:eastAsia="Arial"/>
          <w:b w:val="0"/>
          <w:i w:val="0"/>
          <w:color w:val="111111"/>
          <w:sz w:val="21"/>
        </w:rPr>
        <w:t>Pricing language should emphasize clear expectations, transparent scope, and fees proportionate to the complexity and value of the work. Janke LLP should not position itself primarily as low-cost or affordable.</w:t>
      </w:r>
    </w:p>
    <w:p>
      <w:r>
        <w:br w:type="page"/>
      </w:r>
    </w:p>
    <w:p>
      <w:pPr>
        <w:keepNext/>
        <w:spacing w:before="80" w:after="160" w:line="259" w:lineRule="auto"/>
        <w:pBdr>
          <w:bottom w:val="single" w:sz="8" w:space="4" w:color="B58A2C"/>
        </w:pBdr>
      </w:pPr>
      <w:r>
        <w:rPr>
          <w:rFonts w:ascii="Arial" w:hAnsi="Arial" w:eastAsia="Arial"/>
          <w:b/>
          <w:i w:val="0"/>
          <w:color w:val="B58A2C"/>
          <w:sz w:val="20"/>
        </w:rPr>
        <w:t>05</w:t>
      </w:r>
      <w:r>
        <w:t xml:space="preserve">  </w:t>
      </w:r>
      <w:r>
        <w:rPr>
          <w:rFonts w:ascii="Arial" w:hAnsi="Arial" w:eastAsia="Arial"/>
          <w:b/>
          <w:i w:val="0"/>
          <w:color w:val="111111"/>
          <w:sz w:val="38"/>
        </w:rPr>
        <w:t>People, proof and trust</w:t>
      </w:r>
    </w:p>
    <w:p>
      <w:pPr>
        <w:keepNext w:val="0"/>
        <w:spacing w:before="0" w:after="240" w:line="264" w:lineRule="auto"/>
      </w:pPr>
      <w:r>
        <w:rPr>
          <w:rFonts w:ascii="Arial" w:hAnsi="Arial" w:eastAsia="Arial"/>
          <w:b w:val="0"/>
          <w:i/>
          <w:color w:val="686868"/>
          <w:sz w:val="21"/>
        </w:rPr>
        <w:t>The site should feel like a real firm with visible expertise, not a generic accounting website built from stock photography and service descriptions.</w:t>
      </w:r>
    </w:p>
    <w:p>
      <w:pPr>
        <w:keepNext w:val="0"/>
        <w:spacing w:before="0" w:after="120" w:line="264" w:lineRule="auto"/>
        <w:jc w:val="both"/>
      </w:pPr>
      <w:r>
        <w:rPr>
          <w:rFonts w:ascii="Arial" w:hAnsi="Arial" w:eastAsia="Arial"/>
          <w:b w:val="0"/>
          <w:i w:val="0"/>
          <w:color w:val="111111"/>
          <w:sz w:val="21"/>
        </w:rPr>
        <w:t>Staff biographies should use a consistent tone, credential format, areas of expertise and selective community involvement. Headshots should follow a consistent photographic style. Approved biography lengths are:</w:t>
      </w:r>
    </w:p>
    <w:p>
      <w:pPr>
        <w:pStyle w:val="ListBullet"/>
        <w:keepNext w:val="0"/>
        <w:spacing w:before="0" w:after="60" w:line="259" w:lineRule="auto"/>
      </w:pPr>
      <w:r>
        <w:rPr>
          <w:rFonts w:ascii="Arial" w:hAnsi="Arial" w:eastAsia="Arial"/>
          <w:b w:val="0"/>
          <w:i w:val="0"/>
          <w:color w:val="111111"/>
          <w:sz w:val="20"/>
        </w:rPr>
        <w:t>Short: 25–40 words</w:t>
      </w:r>
    </w:p>
    <w:p>
      <w:pPr>
        <w:pStyle w:val="ListBullet"/>
        <w:keepNext w:val="0"/>
        <w:spacing w:before="0" w:after="60" w:line="259" w:lineRule="auto"/>
      </w:pPr>
      <w:r>
        <w:rPr>
          <w:rFonts w:ascii="Arial" w:hAnsi="Arial" w:eastAsia="Arial"/>
          <w:b w:val="0"/>
          <w:i w:val="0"/>
          <w:color w:val="111111"/>
          <w:sz w:val="20"/>
        </w:rPr>
        <w:t>Standard: 75–125 words — the preferred website profile length</w:t>
      </w:r>
    </w:p>
    <w:p>
      <w:pPr>
        <w:pStyle w:val="ListBullet"/>
        <w:keepNext w:val="0"/>
        <w:spacing w:before="0" w:after="60" w:line="259" w:lineRule="auto"/>
      </w:pPr>
      <w:r>
        <w:rPr>
          <w:rFonts w:ascii="Arial" w:hAnsi="Arial" w:eastAsia="Arial"/>
          <w:b w:val="0"/>
          <w:i w:val="0"/>
          <w:color w:val="111111"/>
          <w:sz w:val="20"/>
        </w:rPr>
        <w:t>Extended: 175–250 words — leadership profiles and major features</w:t>
      </w:r>
    </w:p>
    <w:p>
      <w:pPr>
        <w:keepNext w:val="0"/>
        <w:spacing w:before="0" w:after="120" w:line="264" w:lineRule="auto"/>
        <w:jc w:val="both"/>
      </w:pPr>
      <w:r>
        <w:rPr>
          <w:rFonts w:ascii="Arial" w:hAnsi="Arial" w:eastAsia="Arial"/>
          <w:b w:val="0"/>
          <w:i w:val="0"/>
          <w:color w:val="111111"/>
          <w:sz w:val="21"/>
        </w:rPr>
        <w:t>Photography should prioritize real Janke LLP people, Tisdale and Saskatchewan environments, and relevant business, agriculture, professional and community settings. Aim for polished but natural imagery with genuine interaction and natural light. Minimize generic corporate stock photography, staged handshakes, anonymous boardrooms and heavy filters.</w:t>
      </w:r>
    </w:p>
    <w:p>
      <w:pPr>
        <w:keepNext w:val="0"/>
        <w:spacing w:before="0" w:after="120" w:line="264" w:lineRule="auto"/>
        <w:jc w:val="both"/>
      </w:pPr>
      <w:r>
        <w:rPr>
          <w:rFonts w:ascii="Arial" w:hAnsi="Arial" w:eastAsia="Arial"/>
          <w:b w:val="0"/>
          <w:i w:val="0"/>
          <w:color w:val="111111"/>
          <w:sz w:val="21"/>
        </w:rPr>
        <w:t>Client stories should explain the challenge, the approach, the result and the practical client impact. Identifiable client photography, testimonials and case studies require written, project-specific consent. Quotations may be lightly edited for clarity or length without changing meaning, and the client must approve the final wording and factual presentation before publication.</w:t>
      </w:r>
    </w:p>
    <w:tbl>
      <w:tblPr>
        <w:tblW w:type="auto" w:w="0"/>
        <w:jc w:val="center"/>
        <w:tblLayout w:type="fixed"/>
        <w:tblLook w:firstColumn="1" w:firstRow="1" w:lastColumn="0" w:lastRow="0" w:noHBand="0" w:noVBand="1" w:val="04A0"/>
      </w:tblPr>
      <w:tblGrid>
        <w:gridCol w:w="9648"/>
      </w:tblGrid>
      <w:tr>
        <w:tc>
          <w:tcPr>
            <w:tcW w:type="dxa" w:w="9994"/>
            <w:tcMar>
              <w:top w:w="150" w:type="dxa"/>
              <w:start w:w="180" w:type="dxa"/>
              <w:bottom w:w="150" w:type="dxa"/>
              <w:end w:w="180" w:type="dxa"/>
            </w:tcMar>
            <w:shd w:fill="F7F5F0"/>
          </w:tcPr>
          <w:p>
            <w:pPr>
              <w:keepNext w:val="0"/>
              <w:spacing w:before="0" w:after="100" w:line="259" w:lineRule="auto"/>
            </w:pPr>
            <w:r>
              <w:rPr>
                <w:rFonts w:ascii="Arial" w:hAnsi="Arial" w:eastAsia="Arial"/>
                <w:b/>
                <w:i w:val="0"/>
                <w:color w:val="B58A2C"/>
                <w:sz w:val="19"/>
              </w:rPr>
              <w:t>FIRM-FIRST PRINCIPLE</w:t>
            </w:r>
          </w:p>
          <w:p>
            <w:pPr>
              <w:keepNext w:val="0"/>
              <w:spacing w:before="0" w:after="0" w:line="264" w:lineRule="auto"/>
            </w:pPr>
            <w:r>
              <w:rPr>
                <w:rFonts w:ascii="Arial" w:hAnsi="Arial" w:eastAsia="Arial"/>
                <w:b w:val="0"/>
                <w:i w:val="0"/>
                <w:color w:val="111111"/>
                <w:sz w:val="20"/>
              </w:rPr>
              <w:t>Feature individual experts where their visibility builds confidence, but do not let the site become a collection of personal brands. Janke LLP remains the principal identity.</w:t>
            </w:r>
          </w:p>
        </w:tc>
      </w:tr>
    </w:tbl>
    <w:p>
      <w:pPr>
        <w:spacing w:after="60"/>
      </w:pPr>
    </w:p>
    <w:p>
      <w:r>
        <w:br w:type="page"/>
      </w:r>
    </w:p>
    <w:p>
      <w:pPr>
        <w:keepNext/>
        <w:spacing w:before="80" w:after="160" w:line="259" w:lineRule="auto"/>
        <w:pBdr>
          <w:bottom w:val="single" w:sz="8" w:space="4" w:color="B58A2C"/>
        </w:pBdr>
      </w:pPr>
      <w:r>
        <w:rPr>
          <w:rFonts w:ascii="Arial" w:hAnsi="Arial" w:eastAsia="Arial"/>
          <w:b/>
          <w:i w:val="0"/>
          <w:color w:val="B58A2C"/>
          <w:sz w:val="20"/>
        </w:rPr>
        <w:t>06</w:t>
      </w:r>
      <w:r>
        <w:t xml:space="preserve">  </w:t>
      </w:r>
      <w:r>
        <w:rPr>
          <w:rFonts w:ascii="Arial" w:hAnsi="Arial" w:eastAsia="Arial"/>
          <w:b/>
          <w:i w:val="0"/>
          <w:color w:val="111111"/>
          <w:sz w:val="38"/>
        </w:rPr>
        <w:t>Digital visual direction</w:t>
      </w:r>
    </w:p>
    <w:p>
      <w:pPr>
        <w:keepNext w:val="0"/>
        <w:spacing w:before="0" w:after="240" w:line="264" w:lineRule="auto"/>
      </w:pPr>
      <w:r>
        <w:rPr>
          <w:rFonts w:ascii="Arial" w:hAnsi="Arial" w:eastAsia="Arial"/>
          <w:b w:val="0"/>
          <w:i/>
          <w:color w:val="686868"/>
          <w:sz w:val="21"/>
        </w:rPr>
        <w:t>The premium effect should come from discipline and contrast, not decoration.</w:t>
      </w:r>
    </w:p>
    <w:tbl>
      <w:tblPr>
        <w:tblW w:type="auto" w:w="0"/>
        <w:jc w:val="center"/>
        <w:tblLayout w:type="fixed"/>
        <w:tblLook w:firstColumn="1" w:firstRow="1" w:lastColumn="0" w:lastRow="0" w:noHBand="0" w:noVBand="1" w:val="04A0"/>
        <w:tblBorders>
          <w:top w:val="single" w:sz="4" w:space="0" w:color="C9C5BD"/>
          <w:left w:val="single" w:sz="4" w:space="0" w:color="C9C5BD"/>
          <w:bottom w:val="single" w:sz="4" w:space="0" w:color="C9C5BD"/>
          <w:right w:val="single" w:sz="4" w:space="0" w:color="C9C5BD"/>
          <w:insideH w:val="single" w:sz="4" w:space="0" w:color="C9C5BD"/>
          <w:insideV w:val="single" w:sz="4" w:space="0" w:color="C9C5BD"/>
        </w:tblBorders>
      </w:tblPr>
      <w:tblGrid>
        <w:gridCol w:w="3331"/>
        <w:gridCol w:w="3331"/>
        <w:gridCol w:w="3331"/>
      </w:tblGrid>
      <w:tr>
        <w:tc>
          <w:tcPr>
            <w:tcW w:type="dxa" w:w="2448"/>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Colour</w:t>
            </w:r>
          </w:p>
        </w:tc>
        <w:tc>
          <w:tcPr>
            <w:tcW w:type="dxa" w:w="1800"/>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Specification</w:t>
            </w:r>
          </w:p>
        </w:tc>
        <w:tc>
          <w:tcPr>
            <w:tcW w:type="dxa" w:w="5400"/>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Website role</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Near-black</w:t>
            </w:r>
          </w:p>
        </w:tc>
        <w:tc>
          <w:tcPr>
            <w:tcW w:type="dxa" w:w="18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#111111</w:t>
            </w:r>
          </w:p>
        </w:tc>
        <w:tc>
          <w:tcPr>
            <w:tcW w:type="dxa" w:w="54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Primary dark anchor and selected dark sections</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White</w:t>
            </w:r>
          </w:p>
        </w:tc>
        <w:tc>
          <w:tcPr>
            <w:tcW w:type="dxa" w:w="18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#FFFFFF</w:t>
            </w:r>
          </w:p>
        </w:tc>
        <w:tc>
          <w:tcPr>
            <w:tcW w:type="dxa" w:w="54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Primary light background and body text on black</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Bright Prairie Gold</w:t>
            </w:r>
          </w:p>
        </w:tc>
        <w:tc>
          <w:tcPr>
            <w:tcW w:type="dxa" w:w="18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#D4A842</w:t>
            </w:r>
          </w:p>
        </w:tc>
        <w:tc>
          <w:tcPr>
            <w:tcW w:type="dxa" w:w="54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Headlines and key emphasis on black</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Core Prairie Gold</w:t>
            </w:r>
          </w:p>
        </w:tc>
        <w:tc>
          <w:tcPr>
            <w:tcW w:type="dxa" w:w="18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#B58A2C</w:t>
            </w:r>
          </w:p>
        </w:tc>
        <w:tc>
          <w:tcPr>
            <w:tcW w:type="dxa" w:w="54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Rules, markers, icons and restrained accents</w:t>
            </w:r>
          </w:p>
        </w:tc>
      </w:tr>
      <w:tr>
        <w:tc>
          <w:tcPr>
            <w:tcW w:type="dxa" w:w="2448"/>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Warm white</w:t>
            </w:r>
          </w:p>
        </w:tc>
        <w:tc>
          <w:tcPr>
            <w:tcW w:type="dxa" w:w="18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#F7F5F0</w:t>
            </w:r>
          </w:p>
        </w:tc>
        <w:tc>
          <w:tcPr>
            <w:tcW w:type="dxa" w:w="540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Optional supporting light background</w:t>
            </w:r>
          </w:p>
        </w:tc>
      </w:tr>
      <w:tr>
        <w:tc>
          <w:tcPr>
            <w:tcW w:type="dxa" w:w="2448"/>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Stone</w:t>
            </w:r>
          </w:p>
        </w:tc>
        <w:tc>
          <w:tcPr>
            <w:tcW w:type="dxa" w:w="18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#C9C5BD</w:t>
            </w:r>
          </w:p>
        </w:tc>
        <w:tc>
          <w:tcPr>
            <w:tcW w:type="dxa" w:w="540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Borders, secondary dividers and neutral support</w:t>
            </w:r>
          </w:p>
        </w:tc>
      </w:tr>
    </w:tbl>
    <w:p>
      <w:pPr>
        <w:spacing w:after="80"/>
      </w:pPr>
    </w:p>
    <w:p>
      <w:pPr>
        <w:keepNext w:val="0"/>
        <w:spacing w:before="0" w:after="120" w:line="264" w:lineRule="auto"/>
        <w:jc w:val="both"/>
      </w:pPr>
      <w:r>
        <w:rPr>
          <w:rFonts w:ascii="Arial" w:hAnsi="Arial" w:eastAsia="Arial"/>
          <w:b w:val="0"/>
          <w:i w:val="0"/>
          <w:color w:val="111111"/>
          <w:sz w:val="21"/>
        </w:rPr>
        <w:t>Aim for approximately 90–95% black and white and no more than 5–10% gold. Gold should feel premium because it is rare. Do not use it for body text, every heading, large page fills, routine correspondence or email signatures.</w:t>
      </w:r>
    </w:p>
    <w:p>
      <w:pPr>
        <w:keepNext w:val="0"/>
        <w:spacing w:before="0" w:after="120" w:line="264" w:lineRule="auto"/>
        <w:jc w:val="both"/>
      </w:pPr>
      <w:r>
        <w:rPr>
          <w:rFonts w:ascii="Arial" w:hAnsi="Arial" w:eastAsia="Arial"/>
          <w:b w:val="0"/>
          <w:i w:val="0"/>
          <w:color w:val="111111"/>
          <w:sz w:val="21"/>
        </w:rPr>
        <w:t>Typography: Gilroy is the primary marketing and website heading face. Arial is the formal and operational body face. Manrope is the approved web fallback where Gilroy is unavailable.</w:t>
      </w:r>
    </w:p>
    <w:p>
      <w:pPr>
        <w:keepNext w:val="0"/>
        <w:spacing w:before="0" w:after="120" w:line="264" w:lineRule="auto"/>
        <w:jc w:val="both"/>
      </w:pPr>
      <w:r>
        <w:rPr>
          <w:rFonts w:ascii="Arial" w:hAnsi="Arial" w:eastAsia="Arial"/>
          <w:b w:val="0"/>
          <w:i w:val="0"/>
          <w:color w:val="111111"/>
          <w:sz w:val="21"/>
        </w:rPr>
        <w:t>Use black logos on light backgrounds and white logos on dark backgrounds. Do not recolour the logo gold, alter its proportions, restack it, crop it, add effects, or attach “Grounded advice. Grow better.” to the logo.</w:t>
      </w:r>
    </w:p>
    <w:p>
      <w:pPr>
        <w:keepNext w:val="0"/>
        <w:spacing w:before="0" w:after="120" w:line="264" w:lineRule="auto"/>
        <w:jc w:val="both"/>
      </w:pPr>
      <w:r>
        <w:rPr>
          <w:rFonts w:ascii="Arial" w:hAnsi="Arial" w:eastAsia="Arial"/>
          <w:b w:val="0"/>
          <w:i w:val="0"/>
          <w:color w:val="111111"/>
          <w:sz w:val="21"/>
        </w:rPr>
        <w:t>Accessibility is a brand requirement: use readable type sizes, sufficient contrast, useful alt text and text that exists as real HTML rather than only inside images. Gold on white should be reserved for sufficiently large or bold text or decorative accents; normal body text should remain black.</w:t>
      </w:r>
    </w:p>
    <w:p>
      <w:r>
        <w:br w:type="page"/>
      </w:r>
    </w:p>
    <w:p>
      <w:pPr>
        <w:keepNext/>
        <w:spacing w:before="80" w:after="160" w:line="259" w:lineRule="auto"/>
        <w:pBdr>
          <w:bottom w:val="single" w:sz="8" w:space="4" w:color="B58A2C"/>
        </w:pBdr>
      </w:pPr>
      <w:r>
        <w:rPr>
          <w:rFonts w:ascii="Arial" w:hAnsi="Arial" w:eastAsia="Arial"/>
          <w:b/>
          <w:i w:val="0"/>
          <w:color w:val="B58A2C"/>
          <w:sz w:val="20"/>
        </w:rPr>
        <w:t>07</w:t>
      </w:r>
      <w:r>
        <w:t xml:space="preserve">  </w:t>
      </w:r>
      <w:r>
        <w:rPr>
          <w:rFonts w:ascii="Arial" w:hAnsi="Arial" w:eastAsia="Arial"/>
          <w:b/>
          <w:i w:val="0"/>
          <w:color w:val="111111"/>
          <w:sz w:val="38"/>
        </w:rPr>
        <w:t>Recruitment, content governance and measurement</w:t>
      </w:r>
    </w:p>
    <w:p>
      <w:pPr>
        <w:keepNext w:val="0"/>
        <w:spacing w:before="0" w:after="240" w:line="264" w:lineRule="auto"/>
      </w:pPr>
      <w:r>
        <w:rPr>
          <w:rFonts w:ascii="Arial" w:hAnsi="Arial" w:eastAsia="Arial"/>
          <w:b w:val="0"/>
          <w:i/>
          <w:color w:val="686868"/>
          <w:sz w:val="21"/>
        </w:rPr>
        <w:t>Website content should support both client growth and recruiting while maintaining professional review and confidentiality.</w:t>
      </w:r>
    </w:p>
    <w:p>
      <w:pPr>
        <w:keepNext w:val="0"/>
        <w:spacing w:before="0" w:after="120" w:line="264" w:lineRule="auto"/>
        <w:jc w:val="both"/>
      </w:pPr>
      <w:r>
        <w:rPr>
          <w:rFonts w:ascii="Arial" w:hAnsi="Arial" w:eastAsia="Arial"/>
          <w:b w:val="0"/>
          <w:i w:val="0"/>
          <w:color w:val="111111"/>
          <w:sz w:val="21"/>
        </w:rPr>
        <w:t>The careers story is built around three approved pillars:</w:t>
      </w:r>
    </w:p>
    <w:p>
      <w:pPr>
        <w:pStyle w:val="ListBullet"/>
        <w:keepNext w:val="0"/>
        <w:spacing w:before="0" w:after="60" w:line="259" w:lineRule="auto"/>
      </w:pPr>
      <w:r>
        <w:rPr>
          <w:rFonts w:ascii="Arial" w:hAnsi="Arial" w:eastAsia="Arial"/>
          <w:b w:val="0"/>
          <w:i w:val="0"/>
          <w:color w:val="111111"/>
          <w:sz w:val="20"/>
        </w:rPr>
        <w:t>Sophisticated work experience using best-in-class tools and systems</w:t>
      </w:r>
    </w:p>
    <w:p>
      <w:pPr>
        <w:pStyle w:val="ListBullet"/>
        <w:keepNext w:val="0"/>
        <w:spacing w:before="0" w:after="60" w:line="259" w:lineRule="auto"/>
      </w:pPr>
      <w:r>
        <w:rPr>
          <w:rFonts w:ascii="Arial" w:hAnsi="Arial" w:eastAsia="Arial"/>
          <w:b w:val="0"/>
          <w:i w:val="0"/>
          <w:color w:val="111111"/>
          <w:sz w:val="20"/>
        </w:rPr>
        <w:t>Visible impact on the lives of clients and the community</w:t>
      </w:r>
    </w:p>
    <w:p>
      <w:pPr>
        <w:pStyle w:val="ListBullet"/>
        <w:keepNext w:val="0"/>
        <w:spacing w:before="0" w:after="60" w:line="259" w:lineRule="auto"/>
      </w:pPr>
      <w:r>
        <w:rPr>
          <w:rFonts w:ascii="Arial" w:hAnsi="Arial" w:eastAsia="Arial"/>
          <w:b w:val="0"/>
          <w:i w:val="0"/>
          <w:color w:val="111111"/>
          <w:sz w:val="20"/>
        </w:rPr>
        <w:t>A very high-quality work-life environment</w:t>
      </w:r>
    </w:p>
    <w:p>
      <w:pPr>
        <w:keepNext w:val="0"/>
        <w:spacing w:before="0" w:after="120" w:line="264" w:lineRule="auto"/>
        <w:jc w:val="both"/>
      </w:pPr>
      <w:r>
        <w:rPr>
          <w:rFonts w:ascii="Arial" w:hAnsi="Arial" w:eastAsia="Arial"/>
          <w:b w:val="0"/>
          <w:i w:val="0"/>
          <w:color w:val="111111"/>
          <w:sz w:val="21"/>
        </w:rPr>
        <w:t>Do not overstate flexibility, advancement, workplace conditions, client outcomes, savings or certainty. Technical accounting, tax, assurance and legal-adjacent content should be reviewed by the appropriate subject-matter expert before publication.</w:t>
      </w:r>
    </w:p>
    <w:p>
      <w:pPr>
        <w:keepNext w:val="0"/>
        <w:spacing w:before="0" w:after="120" w:line="264" w:lineRule="auto"/>
        <w:jc w:val="both"/>
      </w:pPr>
      <w:r>
        <w:rPr>
          <w:rFonts w:ascii="Arial" w:hAnsi="Arial" w:eastAsia="Arial"/>
          <w:b w:val="0"/>
          <w:i w:val="0"/>
          <w:color w:val="111111"/>
          <w:sz w:val="21"/>
        </w:rPr>
        <w:t>AI may assist with brainstorming, drafting, editing and adaptation, but no AI-generated content should be published without human review. Technical claims must be verified, confidential or identifying client information must not be entered into unapproved AI tools, and final accountability stays with the approving person.</w:t>
      </w:r>
    </w:p>
    <w:p>
      <w:pPr>
        <w:keepNext w:val="0"/>
        <w:spacing w:before="0" w:after="120" w:line="264" w:lineRule="auto"/>
        <w:jc w:val="both"/>
      </w:pPr>
      <w:r>
        <w:rPr>
          <w:rFonts w:ascii="Arial" w:hAnsi="Arial" w:eastAsia="Arial"/>
          <w:b w:val="0"/>
          <w:i w:val="0"/>
          <w:color w:val="111111"/>
          <w:sz w:val="21"/>
        </w:rPr>
        <w:t>Useful website-related success measures identified in the brand project include qualified inquiries, recruiting outcomes, engagement with useful educational content, accessibility and consistency of implementation. These can inform analytics and content review without turning the site into a volume-first lead-generation system.</w:t>
      </w:r>
    </w:p>
    <w:p>
      <w:r>
        <w:br w:type="page"/>
      </w:r>
    </w:p>
    <w:p>
      <w:pPr>
        <w:keepNext/>
        <w:spacing w:before="80" w:after="160" w:line="259" w:lineRule="auto"/>
        <w:pBdr>
          <w:bottom w:val="single" w:sz="8" w:space="4" w:color="B58A2C"/>
        </w:pBdr>
      </w:pPr>
      <w:r>
        <w:rPr>
          <w:rFonts w:ascii="Arial" w:hAnsi="Arial" w:eastAsia="Arial"/>
          <w:b/>
          <w:i w:val="0"/>
          <w:color w:val="B58A2C"/>
          <w:sz w:val="20"/>
        </w:rPr>
        <w:t>08</w:t>
      </w:r>
      <w:r>
        <w:t xml:space="preserve">  </w:t>
      </w:r>
      <w:r>
        <w:rPr>
          <w:rFonts w:ascii="Arial" w:hAnsi="Arial" w:eastAsia="Arial"/>
          <w:b/>
          <w:i w:val="0"/>
          <w:color w:val="111111"/>
          <w:sz w:val="38"/>
        </w:rPr>
        <w:t>Items not fully settled in the brand project</w:t>
      </w:r>
    </w:p>
    <w:p>
      <w:pPr>
        <w:keepNext w:val="0"/>
        <w:spacing w:before="0" w:after="240" w:line="264" w:lineRule="auto"/>
      </w:pPr>
      <w:r>
        <w:rPr>
          <w:rFonts w:ascii="Arial" w:hAnsi="Arial" w:eastAsia="Arial"/>
          <w:b w:val="0"/>
          <w:i/>
          <w:color w:val="686868"/>
          <w:sz w:val="21"/>
        </w:rPr>
        <w:t>These are not blockers to the build, but they should not be silently invented and then treated as approved brand policy.</w:t>
      </w:r>
    </w:p>
    <w:tbl>
      <w:tblPr>
        <w:tblW w:type="auto" w:w="0"/>
        <w:jc w:val="center"/>
        <w:tblLayout w:type="fixed"/>
        <w:tblLook w:firstColumn="1" w:firstRow="1" w:lastColumn="0" w:lastRow="0" w:noHBand="0" w:noVBand="1" w:val="04A0"/>
        <w:tblBorders>
          <w:top w:val="single" w:sz="4" w:space="0" w:color="C9C5BD"/>
          <w:left w:val="single" w:sz="4" w:space="0" w:color="C9C5BD"/>
          <w:bottom w:val="single" w:sz="4" w:space="0" w:color="C9C5BD"/>
          <w:right w:val="single" w:sz="4" w:space="0" w:color="C9C5BD"/>
          <w:insideH w:val="single" w:sz="4" w:space="0" w:color="C9C5BD"/>
          <w:insideV w:val="single" w:sz="4" w:space="0" w:color="C9C5BD"/>
        </w:tblBorders>
      </w:tblPr>
      <w:tblGrid>
        <w:gridCol w:w="4997"/>
        <w:gridCol w:w="4997"/>
      </w:tblGrid>
      <w:tr>
        <w:tc>
          <w:tcPr>
            <w:tcW w:type="dxa" w:w="3240"/>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Item</w:t>
            </w:r>
          </w:p>
        </w:tc>
        <w:tc>
          <w:tcPr>
            <w:tcW w:type="dxa" w:w="6264"/>
            <w:vAlign w:val="center"/>
            <w:tcMar>
              <w:top w:w="100" w:type="dxa"/>
              <w:start w:w="110" w:type="dxa"/>
              <w:bottom w:w="100" w:type="dxa"/>
              <w:end w:w="110" w:type="dxa"/>
            </w:tcMar>
            <w:shd w:fill="111111"/>
          </w:tcPr>
          <w:p>
            <w:pPr>
              <w:keepNext w:val="0"/>
              <w:spacing w:before="0" w:after="0" w:line="252" w:lineRule="auto"/>
            </w:pPr>
            <w:r>
              <w:rPr>
                <w:rFonts w:ascii="Arial" w:hAnsi="Arial" w:eastAsia="Arial"/>
                <w:b/>
                <w:color w:val="FFFFFF"/>
                <w:sz w:val="18"/>
              </w:rPr>
              <w:t>Current status</w:t>
            </w:r>
          </w:p>
        </w:tc>
      </w:tr>
      <w:tr>
        <w:tc>
          <w:tcPr>
            <w:tcW w:type="dxa" w:w="324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Exact site map and top-level navigation labels</w:t>
            </w:r>
          </w:p>
        </w:tc>
        <w:tc>
          <w:tcPr>
            <w:tcW w:type="dxa" w:w="626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The direction is client-needs-led navigation supported by industry pages; the precise page hierarchy and labels were not separately finalized.</w:t>
            </w:r>
          </w:p>
        </w:tc>
      </w:tr>
      <w:tr>
        <w:tc>
          <w:tcPr>
            <w:tcW w:type="dxa" w:w="324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Full website content framework</w:t>
            </w:r>
          </w:p>
        </w:tc>
        <w:tc>
          <w:tcPr>
            <w:tcW w:type="dxa" w:w="6264"/>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This was identified as an optional future output. The service-page structure and voice rules in this supplement can be used in the meantime.</w:t>
            </w:r>
          </w:p>
        </w:tc>
      </w:tr>
      <w:tr>
        <w:tc>
          <w:tcPr>
            <w:tcW w:type="dxa" w:w="324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Staff bio and headshot standard</w:t>
            </w:r>
          </w:p>
        </w:tc>
        <w:tc>
          <w:tcPr>
            <w:tcW w:type="dxa" w:w="626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A dedicated standard remains optional. The Brand Guide already provides biography lengths, credential / expertise expectations and photographic direction.</w:t>
            </w:r>
          </w:p>
        </w:tc>
      </w:tr>
      <w:tr>
        <w:tc>
          <w:tcPr>
            <w:tcW w:type="dxa" w:w="3240"/>
            <w:vAlign w:val="center"/>
            <w:tcMar>
              <w:top w:w="100" w:type="dxa"/>
              <w:start w:w="110" w:type="dxa"/>
              <w:bottom w:w="100" w:type="dxa"/>
              <w:end w:w="110" w:type="dxa"/>
            </w:tcMar>
            <w:shd w:fill="F7F5F0"/>
          </w:tcPr>
          <w:p>
            <w:pPr>
              <w:keepNext w:val="0"/>
              <w:spacing w:before="0" w:after="0" w:line="252" w:lineRule="auto"/>
            </w:pPr>
            <w:r>
              <w:rPr>
                <w:rFonts w:ascii="Arial" w:hAnsi="Arial" w:eastAsia="Arial"/>
                <w:b/>
                <w:color w:val="111111"/>
                <w:sz w:val="18"/>
              </w:rPr>
              <w:t>Permanent digital asset register</w:t>
            </w:r>
          </w:p>
        </w:tc>
        <w:tc>
          <w:tcPr>
            <w:tcW w:type="dxa" w:w="6264"/>
            <w:vAlign w:val="center"/>
            <w:tcMar>
              <w:top w:w="100" w:type="dxa"/>
              <w:start w:w="110" w:type="dxa"/>
              <w:bottom w:w="100" w:type="dxa"/>
              <w:end w:w="110" w:type="dxa"/>
            </w:tcMar>
            <w:shd w:fill="F7F5F0"/>
          </w:tcPr>
          <w:p>
            <w:pPr>
              <w:keepNext w:val="0"/>
              <w:spacing w:before="0" w:after="0" w:line="252" w:lineRule="auto"/>
            </w:pPr>
            <w:r>
              <w:rPr>
                <w:rFonts w:ascii="Arial" w:hAnsi="Arial" w:eastAsia="Arial"/>
                <w:b w:val="0"/>
                <w:color w:val="111111"/>
                <w:sz w:val="18"/>
              </w:rPr>
              <w:t>The Brand Governance and Asset Register is intentionally deferred until approved assets have permanent Janke LLP server locations.</w:t>
            </w:r>
          </w:p>
        </w:tc>
      </w:tr>
      <w:tr>
        <w:tc>
          <w:tcPr>
            <w:tcW w:type="dxa" w:w="3240"/>
            <w:vAlign w:val="center"/>
            <w:tcMar>
              <w:top w:w="100" w:type="dxa"/>
              <w:start w:w="110" w:type="dxa"/>
              <w:bottom w:w="100" w:type="dxa"/>
              <w:end w:w="110" w:type="dxa"/>
            </w:tcMar>
            <w:shd w:fill="FFFFFF"/>
          </w:tcPr>
          <w:p>
            <w:pPr>
              <w:keepNext w:val="0"/>
              <w:spacing w:before="0" w:after="0" w:line="252" w:lineRule="auto"/>
            </w:pPr>
            <w:r>
              <w:rPr>
                <w:rFonts w:ascii="Arial" w:hAnsi="Arial" w:eastAsia="Arial"/>
                <w:b/>
                <w:color w:val="111111"/>
                <w:sz w:val="18"/>
              </w:rPr>
              <w:t>Intake form fields</w:t>
            </w:r>
          </w:p>
        </w:tc>
        <w:tc>
          <w:tcPr>
            <w:tcW w:type="dxa" w:w="6264"/>
            <w:vAlign w:val="center"/>
            <w:tcMar>
              <w:top w:w="100" w:type="dxa"/>
              <w:start w:w="110" w:type="dxa"/>
              <w:bottom w:w="100" w:type="dxa"/>
              <w:end w:w="110" w:type="dxa"/>
            </w:tcMar>
            <w:shd w:fill="FFFFFF"/>
          </w:tcPr>
          <w:p>
            <w:pPr>
              <w:keepNext w:val="0"/>
              <w:spacing w:before="0" w:after="0" w:line="252" w:lineRule="auto"/>
            </w:pPr>
            <w:r>
              <w:rPr>
                <w:rFonts w:ascii="Arial" w:hAnsi="Arial" w:eastAsia="Arial"/>
                <w:b w:val="0"/>
                <w:color w:val="111111"/>
                <w:sz w:val="18"/>
              </w:rPr>
              <w:t>The guided, qualified intake approach is approved; the exact questions, routing logic and integrations were not fixed in the brand project.</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994"/>
            <w:tcMar>
              <w:top w:w="150" w:type="dxa"/>
              <w:start w:w="180" w:type="dxa"/>
              <w:bottom w:w="150" w:type="dxa"/>
              <w:end w:w="180" w:type="dxa"/>
            </w:tcMar>
            <w:shd w:fill="111111"/>
          </w:tcPr>
          <w:p>
            <w:pPr>
              <w:keepNext w:val="0"/>
              <w:spacing w:before="0" w:after="100" w:line="259" w:lineRule="auto"/>
            </w:pPr>
            <w:r>
              <w:rPr>
                <w:rFonts w:ascii="Arial" w:hAnsi="Arial" w:eastAsia="Arial"/>
                <w:b/>
                <w:i w:val="0"/>
                <w:color w:val="D4A842"/>
                <w:sz w:val="19"/>
              </w:rPr>
              <w:t>HANDOFF RULE</w:t>
            </w:r>
          </w:p>
          <w:p>
            <w:pPr>
              <w:keepNext w:val="0"/>
              <w:spacing w:before="0" w:after="0" w:line="264" w:lineRule="auto"/>
            </w:pPr>
            <w:r>
              <w:rPr>
                <w:rFonts w:ascii="Arial" w:hAnsi="Arial" w:eastAsia="Arial"/>
                <w:b w:val="0"/>
                <w:i w:val="0"/>
                <w:color w:val="FFFFFF"/>
                <w:sz w:val="20"/>
              </w:rPr>
              <w:t>If a proposed website treatment conflicts with the approved Brand Guide, Quick Reference or finalized templates, the approved brand package governs. When in doubt: simplify the design, clarify the message and keep the advice — not the decoration — at the centre.</w:t>
            </w:r>
          </w:p>
        </w:tc>
      </w:tr>
    </w:tbl>
    <w:p>
      <w:pPr>
        <w:spacing w:after="60"/>
      </w:pPr>
    </w:p>
    <w:p>
      <w:pPr>
        <w:keepNext w:val="0"/>
        <w:spacing w:before="120" w:after="0" w:line="252" w:lineRule="auto"/>
      </w:pPr>
      <w:r>
        <w:rPr>
          <w:rFonts w:ascii="Arial" w:hAnsi="Arial" w:eastAsia="Arial"/>
          <w:b w:val="0"/>
          <w:i/>
          <w:color w:val="686868"/>
          <w:sz w:val="17"/>
        </w:rPr>
        <w:t>Source note: This supplement consolidates website-relevant decisions from the current Janke LLP brand-development conversation and the approved brand documents produced from it. A search for additional historical-chat context did not return further retrievable records, so no unsupported historical recollections have been added.</w:t>
      </w:r>
    </w:p>
    <w:sectPr w:rsidR="00FC693F" w:rsidRPr="0006063C" w:rsidSect="00034616">
      <w:headerReference w:type="first" r:id="rId9"/>
      <w:headerReference w:type="default" r:id="rId10"/>
      <w:footerReference w:type="default" r:id="rId11"/>
      <w:pgSz w:w="12240" w:h="15840"/>
      <w:pgMar w:top="1037" w:right="1123" w:bottom="1037" w:left="1123" w:header="259"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86868"/>
        <w:sz w:val="16"/>
      </w:rPr>
      <w:t>Janke LLP  |  Website Design &amp; Build Context</w:t>
    </w:r>
    <w:r>
      <w:t xml:space="preserve">     </w:t>
    </w:r>
    <w:r>
      <w:rPr>
        <w:rFonts w:ascii="Arial" w:hAnsi="Arial" w:eastAsia="Arial"/>
        <w:b w:val="0"/>
        <w:i w:val="0"/>
        <w:color w:val="686868"/>
        <w:sz w:val="16"/>
      </w:rPr>
      <w:t xml:space="preserve">Page </w:t>
    </w:r>
    <w:r>
      <w:rPr>
        <w:rFonts w:ascii="Arial" w:hAnsi="Arial" w:eastAsia="Arial"/>
        <w:b w:val="0"/>
        <w:color w:val="68686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CoverBackground" style="position:absolute;margin-left:0;margin-top:0;width:612pt;height:792pt;z-index:-251654144;mso-position-horizontal:absolute;mso-position-horizontal-relative:page;mso-position-vertical:absolute;mso-position-vertical-relative:page" fillcolor="#111111" stroked="f"/>
      </w:pict>
    </w:r>
  </w:p>
  <w:p>
    <w:pPr>
      <w:spacing w:after="0" w:before="120"/>
      <w:jc w:val="right"/>
    </w:pPr>
    <w:r>
      <w:drawing>
        <wp:inline xmlns:a="http://schemas.openxmlformats.org/drawingml/2006/main" xmlns:pic="http://schemas.openxmlformats.org/drawingml/2006/picture">
          <wp:extent cx="1417320" cy="3619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417320" cy="36195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jc w:val="right"/>
    </w:pPr>
    <w:r>
      <w:drawing>
        <wp:inline xmlns:a="http://schemas.openxmlformats.org/drawingml/2006/main" xmlns:pic="http://schemas.openxmlformats.org/drawingml/2006/picture">
          <wp:extent cx="1234440" cy="315247"/>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1234440" cy="315247"/>
                  </a:xfrm>
                  <a:prstGeom prst="rect"/>
                </pic:spPr>
              </pic:pic>
            </a:graphicData>
          </a:graphic>
        </wp:inline>
      </w:drawing>
    </w:r>
  </w:p>
  <w:p>
    <w:pPr>
      <w:spacing w:after="0"/>
      <w:pBdr>
        <w:bottom w:val="single" w:sz="8" w:space="2" w:color="B58A2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