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224"/>
      </w:tblGrid>
      <w:tr>
        <w:trPr>
          <w:cantSplit/>
        </w:trPr>
        <w:tc>
          <w:tcPr>
            <w:tcW w:type="dxa" w:w="10224"/>
            <w:shd w:fill="111111"/>
            <w:tcBorders>
              <w:top w:val="nil"/>
              <w:left w:val="nil"/>
              <w:bottom w:val="nil"/>
              <w:right w:val="nil"/>
            </w:tcBorders>
            <w:tcMar>
              <w:top w:w="350" w:type="dxa"/>
              <w:start w:w="360" w:type="dxa"/>
              <w:bottom w:w="300" w:type="dxa"/>
              <w:end w:w="360" w:type="dxa"/>
            </w:tcMar>
            <w:vAlign w:val="top"/>
          </w:tcPr>
          <w:p>
            <w:pPr>
              <w:jc w:val="right"/>
            </w:pPr>
            <w:r>
              <w:drawing>
                <wp:inline xmlns:a="http://schemas.openxmlformats.org/drawingml/2006/main" xmlns:pic="http://schemas.openxmlformats.org/drawingml/2006/picture">
                  <wp:extent cx="2331720" cy="595466"/>
                  <wp:docPr id="1" name="Picture 1"/>
                  <wp:cNvGraphicFramePr>
                    <a:graphicFrameLocks noChangeAspect="1"/>
                  </wp:cNvGraphicFramePr>
                  <a:graphic>
                    <a:graphicData uri="http://schemas.openxmlformats.org/drawingml/2006/picture">
                      <pic:pic>
                        <pic:nvPicPr>
                          <pic:cNvPr id="0" name="janke_logo_header_white.png"/>
                          <pic:cNvPicPr/>
                        </pic:nvPicPr>
                        <pic:blipFill>
                          <a:blip r:embed="rId11"/>
                          <a:stretch>
                            <a:fillRect/>
                          </a:stretch>
                        </pic:blipFill>
                        <pic:spPr>
                          <a:xfrm>
                            <a:off x="0" y="0"/>
                            <a:ext cx="2331720" cy="595466"/>
                          </a:xfrm>
                          <a:prstGeom prst="rect"/>
                        </pic:spPr>
                      </pic:pic>
                    </a:graphicData>
                  </a:graphic>
                </wp:inline>
              </w:drawing>
            </w:r>
          </w:p>
          <w:p>
            <w:pPr>
              <w:spacing w:before="1200" w:after="120" w:line="240" w:lineRule="auto"/>
            </w:pPr>
            <w:r>
              <w:rPr>
                <w:rFonts w:ascii="Arial" w:hAnsi="Arial" w:eastAsia="Arial"/>
                <w:b/>
                <w:i w:val="0"/>
                <w:color w:val="D4A842"/>
                <w:sz w:val="20"/>
              </w:rPr>
              <w:t>BRAND GUIDE</w:t>
            </w:r>
          </w:p>
          <w:p>
            <w:pPr>
              <w:spacing w:before="0" w:after="280" w:line="240" w:lineRule="auto"/>
            </w:pPr>
            <w:r>
              <w:rPr>
                <w:rFonts w:ascii="Arial" w:hAnsi="Arial" w:eastAsia="Arial"/>
                <w:b/>
                <w:i w:val="0"/>
                <w:color w:val="D4A842"/>
                <w:sz w:val="76"/>
              </w:rPr>
              <w:t>Janke LLP</w:t>
            </w:r>
          </w:p>
          <w:p>
            <w:pPr>
              <w:spacing w:before="0" w:after="720" w:line="269" w:lineRule="auto"/>
            </w:pPr>
            <w:r>
              <w:rPr>
                <w:rFonts w:ascii="Arial" w:hAnsi="Arial" w:eastAsia="Arial"/>
                <w:b w:val="0"/>
                <w:i w:val="0"/>
                <w:color w:val="FFFFFF"/>
                <w:sz w:val="30"/>
              </w:rPr>
              <w:t>Consolidated standards for identity, communications, client experience and marketing</w:t>
            </w:r>
          </w:p>
          <w:p>
            <w:pPr>
              <w:spacing w:before="0" w:after="100" w:line="240" w:lineRule="auto"/>
            </w:pPr>
            <w:r>
              <w:rPr>
                <w:rFonts w:ascii="Arial" w:hAnsi="Arial" w:eastAsia="Arial"/>
                <w:b/>
                <w:i w:val="0"/>
                <w:color w:val="FFFFFF"/>
                <w:sz w:val="34"/>
              </w:rPr>
              <w:t>Grounded advice. Grow better.</w:t>
            </w:r>
          </w:p>
          <w:p>
            <w:pPr>
              <w:spacing w:before="0" w:after="880" w:line="269" w:lineRule="auto"/>
            </w:pPr>
            <w:r>
              <w:rPr>
                <w:rFonts w:ascii="Arial" w:hAnsi="Arial" w:eastAsia="Arial"/>
                <w:b w:val="0"/>
                <w:i w:val="0"/>
                <w:color w:val="C9C5BD"/>
                <w:sz w:val="20"/>
              </w:rPr>
              <w:t>A selective campaign and headline line. Never attach it to the logo.</w:t>
            </w:r>
          </w:p>
          <w:tbl>
            <w:tblPr>
              <w:tblW w:type="auto" w:w="0"/>
              <w:jc w:val="left"/>
              <w:tblLayout w:type="fixed"/>
              <w:tblLook w:firstColumn="1" w:firstRow="1" w:lastColumn="0" w:lastRow="0" w:noHBand="0" w:noVBand="1" w:val="04A0"/>
            </w:tblPr>
            <w:tblGrid>
              <w:gridCol w:w="5112"/>
              <w:gridCol w:w="5112"/>
            </w:tblGrid>
            <w:tr>
              <w:tc>
                <w:tcPr>
                  <w:tcW w:type="dxa" w:w="2015"/>
                  <w:tcBorders>
                    <w:top w:val="nil"/>
                    <w:left w:val="nil"/>
                    <w:bottom w:val="nil"/>
                    <w:right w:val="nil"/>
                  </w:tcBorders>
                  <w:tcMar>
                    <w:top w:w="15" w:type="dxa"/>
                    <w:start w:w="0" w:type="dxa"/>
                    <w:bottom w:w="15" w:type="dxa"/>
                    <w:end w:w="20" w:type="dxa"/>
                  </w:tcMar>
                </w:tcPr>
                <w:p>
                  <w:r>
                    <w:rPr>
                      <w:rFonts w:ascii="Arial" w:hAnsi="Arial" w:eastAsia="Arial"/>
                      <w:b/>
                      <w:i w:val="0"/>
                      <w:color w:val="D4A842"/>
                      <w:sz w:val="16"/>
                    </w:rPr>
                    <w:t>STATUS</w:t>
                  </w:r>
                </w:p>
              </w:tc>
              <w:tc>
                <w:tcPr>
                  <w:tcW w:type="dxa" w:w="6912"/>
                  <w:tcBorders>
                    <w:top w:val="nil"/>
                    <w:left w:val="nil"/>
                    <w:bottom w:val="nil"/>
                    <w:right w:val="nil"/>
                  </w:tcBorders>
                  <w:tcMar>
                    <w:top w:w="15" w:type="dxa"/>
                    <w:start w:w="0" w:type="dxa"/>
                    <w:bottom w:w="15" w:type="dxa"/>
                    <w:end w:w="20" w:type="dxa"/>
                  </w:tcMar>
                </w:tcPr>
                <w:p>
                  <w:r>
                    <w:rPr>
                      <w:rFonts w:ascii="Arial" w:hAnsi="Arial" w:eastAsia="Arial"/>
                      <w:b w:val="0"/>
                      <w:i w:val="0"/>
                      <w:color w:val="FFFFFF"/>
                      <w:sz w:val="19"/>
                    </w:rPr>
                    <w:t>Version 2 - consolidated approved direction</w:t>
                  </w:r>
                </w:p>
              </w:tc>
            </w:tr>
            <w:tr>
              <w:tc>
                <w:tcPr>
                  <w:tcW w:type="dxa" w:w="2015"/>
                  <w:tcBorders>
                    <w:top w:val="nil"/>
                    <w:left w:val="nil"/>
                    <w:bottom w:val="nil"/>
                    <w:right w:val="nil"/>
                  </w:tcBorders>
                  <w:tcMar>
                    <w:top w:w="15" w:type="dxa"/>
                    <w:start w:w="0" w:type="dxa"/>
                    <w:bottom w:w="15" w:type="dxa"/>
                    <w:end w:w="20" w:type="dxa"/>
                  </w:tcMar>
                </w:tcPr>
                <w:p>
                  <w:r>
                    <w:rPr>
                      <w:rFonts w:ascii="Arial" w:hAnsi="Arial" w:eastAsia="Arial"/>
                      <w:b/>
                      <w:i w:val="0"/>
                      <w:color w:val="D4A842"/>
                      <w:sz w:val="16"/>
                    </w:rPr>
                    <w:t>SCOPE</w:t>
                  </w:r>
                </w:p>
              </w:tc>
              <w:tc>
                <w:tcPr>
                  <w:tcW w:type="dxa" w:w="6912"/>
                  <w:tcBorders>
                    <w:top w:val="nil"/>
                    <w:left w:val="nil"/>
                    <w:bottom w:val="nil"/>
                    <w:right w:val="nil"/>
                  </w:tcBorders>
                  <w:tcMar>
                    <w:top w:w="15" w:type="dxa"/>
                    <w:start w:w="0" w:type="dxa"/>
                    <w:bottom w:w="15" w:type="dxa"/>
                    <w:end w:w="20" w:type="dxa"/>
                  </w:tcMar>
                </w:tcPr>
                <w:p>
                  <w:r>
                    <w:rPr>
                      <w:rFonts w:ascii="Arial" w:hAnsi="Arial" w:eastAsia="Arial"/>
                      <w:b w:val="0"/>
                      <w:i w:val="0"/>
                      <w:color w:val="FFFFFF"/>
                      <w:sz w:val="19"/>
                    </w:rPr>
                    <w:t>Janke LLP master brand and approved applications</w:t>
                  </w:r>
                </w:p>
              </w:tc>
            </w:tr>
            <w:tr>
              <w:tc>
                <w:tcPr>
                  <w:tcW w:type="dxa" w:w="2015"/>
                  <w:tcBorders>
                    <w:top w:val="nil"/>
                    <w:left w:val="nil"/>
                    <w:bottom w:val="nil"/>
                    <w:right w:val="nil"/>
                  </w:tcBorders>
                  <w:tcMar>
                    <w:top w:w="15" w:type="dxa"/>
                    <w:start w:w="0" w:type="dxa"/>
                    <w:bottom w:w="15" w:type="dxa"/>
                    <w:end w:w="20" w:type="dxa"/>
                  </w:tcMar>
                </w:tcPr>
                <w:p>
                  <w:r>
                    <w:rPr>
                      <w:rFonts w:ascii="Arial" w:hAnsi="Arial" w:eastAsia="Arial"/>
                      <w:b/>
                      <w:i w:val="0"/>
                      <w:color w:val="D4A842"/>
                      <w:sz w:val="16"/>
                    </w:rPr>
                    <w:t>PALETTE</w:t>
                  </w:r>
                </w:p>
              </w:tc>
              <w:tc>
                <w:tcPr>
                  <w:tcW w:type="dxa" w:w="6912"/>
                  <w:tcBorders>
                    <w:top w:val="nil"/>
                    <w:left w:val="nil"/>
                    <w:bottom w:val="nil"/>
                    <w:right w:val="nil"/>
                  </w:tcBorders>
                  <w:tcMar>
                    <w:top w:w="15" w:type="dxa"/>
                    <w:start w:w="0" w:type="dxa"/>
                    <w:bottom w:w="15" w:type="dxa"/>
                    <w:end w:w="20" w:type="dxa"/>
                  </w:tcMar>
                </w:tcPr>
                <w:p>
                  <w:r>
                    <w:rPr>
                      <w:rFonts w:ascii="Arial" w:hAnsi="Arial" w:eastAsia="Arial"/>
                      <w:b w:val="0"/>
                      <w:i w:val="0"/>
                      <w:color w:val="FFFFFF"/>
                      <w:sz w:val="19"/>
                    </w:rPr>
                    <w:t>Black, white and restrained prairie gold</w:t>
                  </w:r>
                </w:p>
              </w:tc>
            </w:tr>
            <w:tr>
              <w:tc>
                <w:tcPr>
                  <w:tcW w:type="dxa" w:w="2015"/>
                  <w:tcBorders>
                    <w:top w:val="nil"/>
                    <w:left w:val="nil"/>
                    <w:bottom w:val="nil"/>
                    <w:right w:val="nil"/>
                  </w:tcBorders>
                  <w:tcMar>
                    <w:top w:w="15" w:type="dxa"/>
                    <w:start w:w="0" w:type="dxa"/>
                    <w:bottom w:w="15" w:type="dxa"/>
                    <w:end w:w="20" w:type="dxa"/>
                  </w:tcMar>
                </w:tcPr>
                <w:p>
                  <w:r>
                    <w:rPr>
                      <w:rFonts w:ascii="Arial" w:hAnsi="Arial" w:eastAsia="Arial"/>
                      <w:b/>
                      <w:i w:val="0"/>
                      <w:color w:val="D4A842"/>
                      <w:sz w:val="16"/>
                    </w:rPr>
                    <w:t>REVIEW CYCLE</w:t>
                  </w:r>
                </w:p>
              </w:tc>
              <w:tc>
                <w:tcPr>
                  <w:tcW w:type="dxa" w:w="6912"/>
                  <w:tcBorders>
                    <w:top w:val="nil"/>
                    <w:left w:val="nil"/>
                    <w:bottom w:val="nil"/>
                    <w:right w:val="nil"/>
                  </w:tcBorders>
                  <w:tcMar>
                    <w:top w:w="15" w:type="dxa"/>
                    <w:start w:w="0" w:type="dxa"/>
                    <w:bottom w:w="15" w:type="dxa"/>
                    <w:end w:w="20" w:type="dxa"/>
                  </w:tcMar>
                </w:tcPr>
                <w:p>
                  <w:r>
                    <w:rPr>
                      <w:rFonts w:ascii="Arial" w:hAnsi="Arial" w:eastAsia="Arial"/>
                      <w:b w:val="0"/>
                      <w:i w:val="0"/>
                      <w:color w:val="FFFFFF"/>
                      <w:sz w:val="19"/>
                    </w:rPr>
                    <w:t>Annual; interim updates only for meaningful changes</w:t>
                  </w:r>
                </w:p>
              </w:tc>
            </w:tr>
          </w:tbl>
          <w:p/>
          <w:p>
            <w:pPr>
              <w:spacing w:before="1080" w:after="0" w:line="264" w:lineRule="auto"/>
            </w:pPr>
            <w:r>
              <w:rPr>
                <w:rFonts w:ascii="Arial" w:hAnsi="Arial" w:eastAsia="Arial"/>
                <w:b/>
                <w:i w:val="0"/>
                <w:color w:val="D4A842"/>
                <w:sz w:val="24"/>
              </w:rPr>
              <w:t>Purpose</w:t>
            </w:r>
          </w:p>
          <w:p>
            <w:pPr>
              <w:spacing w:before="0" w:after="0" w:line="283" w:lineRule="auto"/>
            </w:pPr>
            <w:r>
              <w:rPr>
                <w:rFonts w:ascii="Arial" w:hAnsi="Arial" w:eastAsia="Arial"/>
                <w:b w:val="0"/>
                <w:i w:val="0"/>
                <w:color w:val="FFFFFF"/>
                <w:sz w:val="20"/>
              </w:rPr>
              <w:t>This guide establishes the strategic, verbal, visual and operating standards for Janke LLP. It consolidates the approved decisions reflected in the firm’s document, presentation, email, social, recruitment and client-experience templates.</w:t>
            </w:r>
          </w:p>
        </w:tc>
      </w:tr>
    </w:tbl>
    <w:p>
      <w:r>
        <w:br w:type="page"/>
      </w:r>
    </w:p>
    <w:p>
      <w:pPr>
        <w:keepNext/>
        <w:spacing w:before="0" w:after="60" w:line="240" w:lineRule="auto"/>
        <w:widowControl/>
        <w:jc w:val="left"/>
      </w:pPr>
      <w:r>
        <w:rPr>
          <w:rFonts w:ascii="Arial" w:hAnsi="Arial" w:eastAsia="Arial"/>
          <w:b/>
          <w:i w:val="0"/>
          <w:color w:val="B58A2C"/>
          <w:sz w:val="18"/>
        </w:rPr>
        <w:t>GUIDE AT A GLANCE</w:t>
      </w:r>
    </w:p>
    <w:p>
      <w:pPr>
        <w:keepNext/>
        <w:spacing w:before="0" w:after="160" w:line="240" w:lineRule="auto"/>
        <w:widowControl/>
        <w:jc w:val="left"/>
      </w:pPr>
      <w:r>
        <w:rPr>
          <w:rFonts w:ascii="Arial" w:hAnsi="Arial" w:eastAsia="Arial"/>
          <w:b/>
          <w:i w:val="0"/>
          <w:color w:val="111111"/>
          <w:sz w:val="50"/>
        </w:rPr>
        <w:t>The final brand system</w:t>
      </w:r>
    </w:p>
    <w:p>
      <w:pPr>
        <w:spacing w:before="0" w:after="160" w:line="264" w:lineRule="auto"/>
        <w:widowControl/>
        <w:jc w:val="left"/>
      </w:pPr>
      <w:r>
        <w:rPr>
          <w:rFonts w:ascii="Arial" w:hAnsi="Arial" w:eastAsia="Arial"/>
          <w:b w:val="0"/>
          <w:i w:val="0"/>
          <w:color w:val="666666"/>
          <w:sz w:val="22"/>
        </w:rPr>
        <w:t>Janke LLP should feel sophisticated, practical and accessible. The brand is intentionally restrained: strong black-and-white foundations, clear language, real expertise and only selective use of prairie gold.</w:t>
      </w:r>
    </w:p>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CORE POSITIONING</w:t>
            </w:r>
          </w:p>
          <w:p>
            <w:pPr>
              <w:spacing w:before="0" w:after="0" w:line="276" w:lineRule="auto"/>
            </w:pPr>
            <w:r>
              <w:rPr>
                <w:rFonts w:ascii="Arial" w:hAnsi="Arial" w:eastAsia="Arial"/>
                <w:b w:val="0"/>
                <w:i w:val="0"/>
                <w:color w:val="FFFFFF"/>
                <w:sz w:val="20"/>
              </w:rPr>
              <w:t>An advisory-led CPA firm providing sophisticated advice with practical clarity for Saskatchewan businesses, professionals, farms and families.</w:t>
            </w:r>
          </w:p>
        </w:tc>
      </w:tr>
    </w:tbl>
    <w:p>
      <w:pPr>
        <w:spacing w:after="0"/>
      </w:pPr>
    </w:p>
    <w:tbl>
      <w:tblPr>
        <w:tblW w:type="auto" w:w="0"/>
        <w:jc w:val="center"/>
        <w:tblLayout w:type="fixed"/>
        <w:tblLook w:firstColumn="1" w:firstRow="1" w:lastColumn="0" w:lastRow="0" w:noHBand="0" w:noVBand="1" w:val="04A0"/>
      </w:tblPr>
      <w:tblGrid>
        <w:gridCol w:w="5112"/>
        <w:gridCol w:w="5112"/>
      </w:tblGrid>
      <w:tr>
        <w:trPr>
          <w:cantSplit/>
        </w:trPr>
        <w:tc>
          <w:tcPr>
            <w:tcW w:type="dxa" w:w="5040"/>
            <w:tcMar>
              <w:top w:w="120" w:type="dxa"/>
              <w:start w:w="140" w:type="dxa"/>
              <w:bottom w:w="120" w:type="dxa"/>
              <w:end w:w="140" w:type="dxa"/>
            </w:tcMar>
            <w:tcBorders>
              <w:top w:val="nil"/>
              <w:left w:val="nil"/>
              <w:bottom w:val="nil"/>
              <w:right w:val="nil"/>
            </w:tcBorders>
            <w:shd w:fill="F7F5F0"/>
            <w:vAlign w:val="top"/>
          </w:tcPr>
          <w:p>
            <w:pPr>
              <w:spacing w:before="0" w:after="120" w:line="240" w:lineRule="auto"/>
            </w:pPr>
            <w:r>
              <w:rPr>
                <w:rFonts w:ascii="Arial" w:hAnsi="Arial" w:eastAsia="Arial"/>
                <w:b/>
                <w:i w:val="0"/>
                <w:color w:val="B58A2C"/>
                <w:sz w:val="26"/>
              </w:rPr>
              <w:t>What the brand should communicate</w:t>
            </w:r>
          </w:p>
          <w:p>
            <w:pPr>
              <w:pStyle w:val="ListBullet"/>
              <w:spacing w:before="0" w:after="60" w:line="259" w:lineRule="auto"/>
            </w:pPr>
            <w:r>
              <w:rPr>
                <w:rFonts w:ascii="Arial" w:hAnsi="Arial" w:eastAsia="Arial"/>
                <w:b w:val="0"/>
                <w:i w:val="0"/>
                <w:color w:val="111111"/>
                <w:sz w:val="19"/>
              </w:rPr>
              <w:t>Professional sophistication and technical credibility</w:t>
            </w:r>
          </w:p>
          <w:p>
            <w:pPr>
              <w:pStyle w:val="ListBullet"/>
              <w:spacing w:before="0" w:after="60" w:line="259" w:lineRule="auto"/>
            </w:pPr>
            <w:r>
              <w:rPr>
                <w:rFonts w:ascii="Arial" w:hAnsi="Arial" w:eastAsia="Arial"/>
                <w:b w:val="0"/>
                <w:i w:val="0"/>
                <w:color w:val="111111"/>
                <w:sz w:val="19"/>
              </w:rPr>
              <w:t>Practical, understandable and useful advice</w:t>
            </w:r>
          </w:p>
          <w:p>
            <w:pPr>
              <w:pStyle w:val="ListBullet"/>
              <w:spacing w:before="0" w:after="60" w:line="259" w:lineRule="auto"/>
            </w:pPr>
            <w:r>
              <w:rPr>
                <w:rFonts w:ascii="Arial" w:hAnsi="Arial" w:eastAsia="Arial"/>
                <w:b w:val="0"/>
                <w:i w:val="0"/>
                <w:color w:val="111111"/>
                <w:sz w:val="19"/>
              </w:rPr>
              <w:t>Accessible relationships and visible expertise</w:t>
            </w:r>
          </w:p>
          <w:p>
            <w:pPr>
              <w:pStyle w:val="ListBullet"/>
              <w:spacing w:before="0" w:after="60" w:line="259" w:lineRule="auto"/>
            </w:pPr>
            <w:r>
              <w:rPr>
                <w:rFonts w:ascii="Arial" w:hAnsi="Arial" w:eastAsia="Arial"/>
                <w:b w:val="0"/>
                <w:i w:val="0"/>
                <w:color w:val="111111"/>
                <w:sz w:val="19"/>
              </w:rPr>
              <w:t>Saskatchewan awareness without limiting province-wide reach</w:t>
            </w:r>
          </w:p>
          <w:p>
            <w:pPr>
              <w:pStyle w:val="ListBullet"/>
              <w:spacing w:before="0" w:after="60" w:line="259" w:lineRule="auto"/>
            </w:pPr>
            <w:r>
              <w:rPr>
                <w:rFonts w:ascii="Arial" w:hAnsi="Arial" w:eastAsia="Arial"/>
                <w:b w:val="0"/>
                <w:i w:val="0"/>
                <w:color w:val="111111"/>
                <w:sz w:val="19"/>
              </w:rPr>
              <w:t>Modern confidence without trendiness or corporate distance</w:t>
            </w:r>
          </w:p>
        </w:tc>
        <w:tc>
          <w:tcPr>
            <w:tcW w:type="dxa" w:w="5040"/>
            <w:tcMar>
              <w:top w:w="120" w:type="dxa"/>
              <w:start w:w="140" w:type="dxa"/>
              <w:bottom w:w="120" w:type="dxa"/>
              <w:end w:w="140" w:type="dxa"/>
            </w:tcMar>
            <w:tcBorders>
              <w:top w:val="nil"/>
              <w:left w:val="nil"/>
              <w:bottom w:val="nil"/>
              <w:right w:val="nil"/>
            </w:tcBorders>
            <w:shd w:fill="FFFFFF"/>
            <w:vAlign w:val="top"/>
          </w:tcPr>
          <w:p>
            <w:pPr>
              <w:spacing w:before="0" w:after="120" w:line="240" w:lineRule="auto"/>
            </w:pPr>
            <w:r>
              <w:rPr>
                <w:rFonts w:ascii="Arial" w:hAnsi="Arial" w:eastAsia="Arial"/>
                <w:b/>
                <w:i w:val="0"/>
                <w:color w:val="B58A2C"/>
                <w:sz w:val="26"/>
              </w:rPr>
              <w:t>The operating principles</w:t>
            </w:r>
          </w:p>
          <w:p>
            <w:pPr>
              <w:pStyle w:val="ListBullet"/>
              <w:spacing w:before="0" w:after="60" w:line="259" w:lineRule="auto"/>
            </w:pPr>
            <w:r>
              <w:rPr>
                <w:rFonts w:ascii="Arial" w:hAnsi="Arial" w:eastAsia="Arial"/>
                <w:b w:val="0"/>
                <w:i w:val="0"/>
                <w:color w:val="111111"/>
                <w:sz w:val="19"/>
              </w:rPr>
              <w:t>Lead with the client’s decision, opportunity or desired outcome</w:t>
            </w:r>
          </w:p>
          <w:p>
            <w:pPr>
              <w:pStyle w:val="ListBullet"/>
              <w:spacing w:before="0" w:after="60" w:line="259" w:lineRule="auto"/>
            </w:pPr>
            <w:r>
              <w:rPr>
                <w:rFonts w:ascii="Arial" w:hAnsi="Arial" w:eastAsia="Arial"/>
                <w:b w:val="0"/>
                <w:i w:val="0"/>
                <w:color w:val="111111"/>
                <w:sz w:val="19"/>
              </w:rPr>
              <w:t>Use plain language and make the next step clear</w:t>
            </w:r>
          </w:p>
          <w:p>
            <w:pPr>
              <w:pStyle w:val="ListBullet"/>
              <w:spacing w:before="0" w:after="60" w:line="259" w:lineRule="auto"/>
            </w:pPr>
            <w:r>
              <w:rPr>
                <w:rFonts w:ascii="Arial" w:hAnsi="Arial" w:eastAsia="Arial"/>
                <w:b w:val="0"/>
                <w:i w:val="0"/>
                <w:color w:val="111111"/>
                <w:sz w:val="19"/>
              </w:rPr>
              <w:t>Keep formal documents primarily black and white</w:t>
            </w:r>
          </w:p>
          <w:p>
            <w:pPr>
              <w:pStyle w:val="ListBullet"/>
              <w:spacing w:before="0" w:after="60" w:line="259" w:lineRule="auto"/>
            </w:pPr>
            <w:r>
              <w:rPr>
                <w:rFonts w:ascii="Arial" w:hAnsi="Arial" w:eastAsia="Arial"/>
                <w:b w:val="0"/>
                <w:i w:val="0"/>
                <w:color w:val="111111"/>
                <w:sz w:val="19"/>
              </w:rPr>
              <w:t>Use prairie gold as a rare, deliberate premium accent</w:t>
            </w:r>
          </w:p>
          <w:p>
            <w:pPr>
              <w:pStyle w:val="ListBullet"/>
              <w:spacing w:before="0" w:after="60" w:line="259" w:lineRule="auto"/>
            </w:pPr>
            <w:r>
              <w:rPr>
                <w:rFonts w:ascii="Arial" w:hAnsi="Arial" w:eastAsia="Arial"/>
                <w:b w:val="0"/>
                <w:i w:val="0"/>
                <w:color w:val="111111"/>
                <w:sz w:val="19"/>
              </w:rPr>
              <w:t>Use approved templates rather than recreating layouts</w:t>
            </w:r>
          </w:p>
        </w:tc>
      </w:tr>
    </w:tbl>
    <w:p>
      <w:pPr>
        <w:keepNext/>
        <w:spacing w:before="160" w:after="80" w:line="240" w:lineRule="auto"/>
        <w:widowControl/>
        <w:jc w:val="left"/>
      </w:pPr>
      <w:r>
        <w:rPr>
          <w:rFonts w:ascii="Arial" w:hAnsi="Arial" w:eastAsia="Arial"/>
          <w:b/>
          <w:i w:val="0"/>
          <w:color w:val="111111"/>
          <w:sz w:val="28"/>
        </w:rPr>
        <w:t>Core brand language</w:t>
      </w:r>
    </w:p>
    <w:tbl>
      <w:tblPr>
        <w:tblW w:type="auto" w:w="0"/>
        <w:jc w:val="center"/>
        <w:tblLayout w:type="fixed"/>
        <w:tblLook w:firstColumn="1" w:firstRow="1" w:lastColumn="0" w:lastRow="0" w:noHBand="0" w:noVBand="1" w:val="04A0"/>
      </w:tblPr>
      <w:tblGrid>
        <w:gridCol w:w="5112"/>
        <w:gridCol w:w="5112"/>
      </w:tblGrid>
      <w:tr>
        <w:trPr>
          <w:cantSplit/>
        </w:trPr>
        <w:tc>
          <w:tcPr>
            <w:tcW w:type="dxa" w:w="2520"/>
            <w:tcMar>
              <w:top w:w="75" w:type="dxa"/>
              <w:start w:w="95" w:type="dxa"/>
              <w:bottom w:w="75" w:type="dxa"/>
              <w:end w:w="95" w:type="dxa"/>
            </w:tcMar>
            <w:tcBorders>
              <w:top w:val="nil"/>
              <w:left w:val="nil"/>
              <w:bottom w:val="single" w:sz="4" w:color="E8E5DE"/>
              <w:right w:val="nil"/>
            </w:tcBorders>
          </w:tcPr>
          <w:p>
            <w:r>
              <w:rPr>
                <w:rFonts w:ascii="Arial" w:hAnsi="Arial" w:eastAsia="Arial"/>
                <w:b/>
                <w:i w:val="0"/>
                <w:color w:val="B58A2C"/>
                <w:sz w:val="18"/>
              </w:rPr>
              <w:t>Primary prompt</w:t>
            </w:r>
          </w:p>
        </w:tc>
        <w:tc>
          <w:tcPr>
            <w:tcW w:type="dxa" w:w="7560"/>
            <w:tcMar>
              <w:top w:w="75" w:type="dxa"/>
              <w:start w:w="95" w:type="dxa"/>
              <w:bottom w:w="75" w:type="dxa"/>
              <w:end w:w="95" w:type="dxa"/>
            </w:tcMar>
            <w:tcBorders>
              <w:top w:val="nil"/>
              <w:left w:val="nil"/>
              <w:bottom w:val="single" w:sz="4" w:color="E8E5DE"/>
              <w:right w:val="nil"/>
            </w:tcBorders>
          </w:tcPr>
          <w:p>
            <w:r>
              <w:rPr>
                <w:rFonts w:ascii="Arial" w:hAnsi="Arial" w:eastAsia="Arial"/>
                <w:b w:val="0"/>
                <w:i w:val="0"/>
                <w:color w:val="111111"/>
                <w:sz w:val="19"/>
              </w:rPr>
              <w:t>What does better look like?</w:t>
            </w:r>
          </w:p>
        </w:tc>
      </w:tr>
      <w:tr>
        <w:trPr>
          <w:cantSplit/>
        </w:trPr>
        <w:tc>
          <w:tcPr>
            <w:tcW w:type="dxa" w:w="2520"/>
            <w:tcMar>
              <w:top w:w="75" w:type="dxa"/>
              <w:start w:w="95" w:type="dxa"/>
              <w:bottom w:w="75" w:type="dxa"/>
              <w:end w:w="95" w:type="dxa"/>
            </w:tcMar>
            <w:tcBorders>
              <w:top w:val="nil"/>
              <w:left w:val="nil"/>
              <w:bottom w:val="single" w:sz="4" w:color="E8E5DE"/>
              <w:right w:val="nil"/>
            </w:tcBorders>
          </w:tcPr>
          <w:p>
            <w:r>
              <w:rPr>
                <w:rFonts w:ascii="Arial" w:hAnsi="Arial" w:eastAsia="Arial"/>
                <w:b/>
                <w:i w:val="0"/>
                <w:color w:val="B58A2C"/>
                <w:sz w:val="18"/>
              </w:rPr>
              <w:t>Primary CTA</w:t>
            </w:r>
          </w:p>
        </w:tc>
        <w:tc>
          <w:tcPr>
            <w:tcW w:type="dxa" w:w="7560"/>
            <w:tcMar>
              <w:top w:w="75" w:type="dxa"/>
              <w:start w:w="95" w:type="dxa"/>
              <w:bottom w:w="75" w:type="dxa"/>
              <w:end w:w="95" w:type="dxa"/>
            </w:tcMar>
            <w:tcBorders>
              <w:top w:val="nil"/>
              <w:left w:val="nil"/>
              <w:bottom w:val="single" w:sz="4" w:color="E8E5DE"/>
              <w:right w:val="nil"/>
            </w:tcBorders>
          </w:tcPr>
          <w:p>
            <w:r>
              <w:rPr>
                <w:rFonts w:ascii="Arial" w:hAnsi="Arial" w:eastAsia="Arial"/>
                <w:b w:val="0"/>
                <w:i w:val="0"/>
                <w:color w:val="111111"/>
                <w:sz w:val="19"/>
              </w:rPr>
              <w:t>Start the conversation</w:t>
            </w:r>
          </w:p>
        </w:tc>
      </w:tr>
      <w:tr>
        <w:trPr>
          <w:cantSplit/>
        </w:trPr>
        <w:tc>
          <w:tcPr>
            <w:tcW w:type="dxa" w:w="2520"/>
            <w:tcMar>
              <w:top w:w="75" w:type="dxa"/>
              <w:start w:w="95" w:type="dxa"/>
              <w:bottom w:w="75" w:type="dxa"/>
              <w:end w:w="95" w:type="dxa"/>
            </w:tcMar>
            <w:tcBorders>
              <w:top w:val="nil"/>
              <w:left w:val="nil"/>
              <w:bottom w:val="single" w:sz="4" w:color="E8E5DE"/>
              <w:right w:val="nil"/>
            </w:tcBorders>
          </w:tcPr>
          <w:p>
            <w:r>
              <w:rPr>
                <w:rFonts w:ascii="Arial" w:hAnsi="Arial" w:eastAsia="Arial"/>
                <w:b/>
                <w:i w:val="0"/>
                <w:color w:val="B58A2C"/>
                <w:sz w:val="18"/>
              </w:rPr>
              <w:t>Supporting line</w:t>
            </w:r>
          </w:p>
        </w:tc>
        <w:tc>
          <w:tcPr>
            <w:tcW w:type="dxa" w:w="7560"/>
            <w:tcMar>
              <w:top w:w="75" w:type="dxa"/>
              <w:start w:w="95" w:type="dxa"/>
              <w:bottom w:w="75" w:type="dxa"/>
              <w:end w:w="95" w:type="dxa"/>
            </w:tcMar>
            <w:tcBorders>
              <w:top w:val="nil"/>
              <w:left w:val="nil"/>
              <w:bottom w:val="single" w:sz="4" w:color="E8E5DE"/>
              <w:right w:val="nil"/>
            </w:tcBorders>
          </w:tcPr>
          <w:p>
            <w:r>
              <w:rPr>
                <w:rFonts w:ascii="Arial" w:hAnsi="Arial" w:eastAsia="Arial"/>
                <w:b w:val="0"/>
                <w:i w:val="0"/>
                <w:color w:val="111111"/>
                <w:sz w:val="19"/>
              </w:rPr>
              <w:t>Grounded advice. Grow better. - use selectively; never attach to the logo</w:t>
            </w:r>
          </w:p>
        </w:tc>
      </w:tr>
    </w:tbl>
    <w:p>
      <w:r>
        <w:br w:type="page"/>
      </w:r>
    </w:p>
    <w:p>
      <w:pPr>
        <w:keepNext/>
        <w:spacing w:before="0" w:after="60" w:line="240" w:lineRule="auto"/>
        <w:widowControl/>
        <w:jc w:val="left"/>
      </w:pPr>
      <w:r>
        <w:rPr>
          <w:rFonts w:ascii="Arial" w:hAnsi="Arial" w:eastAsia="Arial"/>
          <w:b/>
          <w:i w:val="0"/>
          <w:color w:val="B58A2C"/>
          <w:sz w:val="18"/>
        </w:rPr>
        <w:t>01</w:t>
      </w:r>
    </w:p>
    <w:p>
      <w:pPr>
        <w:keepNext/>
        <w:spacing w:before="0" w:after="160" w:line="240" w:lineRule="auto"/>
        <w:widowControl/>
        <w:jc w:val="left"/>
      </w:pPr>
      <w:r>
        <w:rPr>
          <w:rFonts w:ascii="Arial" w:hAnsi="Arial" w:eastAsia="Arial"/>
          <w:b/>
          <w:i w:val="0"/>
          <w:color w:val="111111"/>
          <w:sz w:val="50"/>
        </w:rPr>
        <w:t>Brand foundation</w:t>
      </w:r>
    </w:p>
    <w:p>
      <w:pPr>
        <w:spacing w:before="0" w:after="160" w:line="264" w:lineRule="auto"/>
        <w:widowControl/>
        <w:jc w:val="left"/>
      </w:pPr>
      <w:r>
        <w:rPr>
          <w:rFonts w:ascii="Arial" w:hAnsi="Arial" w:eastAsia="Arial"/>
          <w:b w:val="0"/>
          <w:i w:val="0"/>
          <w:color w:val="666666"/>
          <w:sz w:val="22"/>
        </w:rPr>
        <w:t>The brand begins with the advice experience: technically strong, practically useful and genuinely connected to the people making the decision.</w:t>
      </w:r>
    </w:p>
    <w:p>
      <w:pPr>
        <w:keepNext/>
        <w:spacing w:before="160" w:after="80" w:line="240" w:lineRule="auto"/>
        <w:widowControl/>
        <w:jc w:val="left"/>
      </w:pPr>
      <w:r>
        <w:rPr>
          <w:rFonts w:ascii="Arial" w:hAnsi="Arial" w:eastAsia="Arial"/>
          <w:b/>
          <w:i w:val="0"/>
          <w:color w:val="111111"/>
          <w:sz w:val="28"/>
        </w:rPr>
        <w:t>Brand promise</w:t>
      </w:r>
    </w:p>
    <w:p>
      <w:pPr>
        <w:spacing w:before="0" w:after="120" w:line="264" w:lineRule="auto"/>
        <w:widowControl/>
        <w:jc w:val="both"/>
      </w:pPr>
      <w:r>
        <w:rPr>
          <w:rFonts w:ascii="Arial" w:hAnsi="Arial" w:eastAsia="Arial"/>
          <w:b w:val="0"/>
          <w:i w:val="0"/>
          <w:color w:val="111111"/>
          <w:sz w:val="22"/>
        </w:rPr>
        <w:t>Janke LLP provides sophisticated advice with practical clarity, grounded in a genuine understanding of Saskatchewan businesses, professionals, farms, families and communities.</w:t>
      </w:r>
    </w:p>
    <w:p>
      <w:pPr>
        <w:keepNext/>
        <w:spacing w:before="160" w:after="80" w:line="240" w:lineRule="auto"/>
        <w:widowControl/>
        <w:jc w:val="left"/>
      </w:pPr>
      <w:r>
        <w:rPr>
          <w:rFonts w:ascii="Arial" w:hAnsi="Arial" w:eastAsia="Arial"/>
          <w:b/>
          <w:i w:val="0"/>
          <w:color w:val="111111"/>
          <w:sz w:val="28"/>
        </w:rPr>
        <w:t>Market position</w:t>
      </w:r>
    </w:p>
    <w:p>
      <w:pPr>
        <w:spacing w:before="0" w:after="120" w:line="264" w:lineRule="auto"/>
        <w:widowControl/>
        <w:jc w:val="both"/>
      </w:pPr>
      <w:r>
        <w:rPr>
          <w:rFonts w:ascii="Arial" w:hAnsi="Arial" w:eastAsia="Arial"/>
          <w:b w:val="0"/>
          <w:i w:val="0"/>
          <w:color w:val="111111"/>
          <w:sz w:val="21"/>
        </w:rPr>
        <w:t>Janke LLP is an advisory-led CPA firm with complete accounting, tax, assurance and operational support capabilities. Public-facing communications should lead with outcomes, decisions and opportunities rather than compliance deliverables alone.</w:t>
      </w:r>
    </w:p>
    <w:p>
      <w:pPr>
        <w:keepNext/>
        <w:spacing w:before="160" w:after="80" w:line="240" w:lineRule="auto"/>
        <w:widowControl/>
        <w:jc w:val="left"/>
      </w:pPr>
      <w:r>
        <w:rPr>
          <w:rFonts w:ascii="Arial" w:hAnsi="Arial" w:eastAsia="Arial"/>
          <w:b/>
          <w:i w:val="0"/>
          <w:color w:val="111111"/>
          <w:sz w:val="28"/>
        </w:rPr>
        <w:t>Desired perception</w:t>
      </w:r>
    </w:p>
    <w:p>
      <w:pPr>
        <w:pStyle w:val="ListBullet"/>
        <w:spacing w:before="0" w:after="60" w:line="259" w:lineRule="auto"/>
        <w:widowControl/>
        <w:jc w:val="left"/>
      </w:pPr>
      <w:r>
        <w:rPr>
          <w:rFonts w:ascii="Arial" w:hAnsi="Arial" w:eastAsia="Arial"/>
          <w:b w:val="0"/>
          <w:i w:val="0"/>
          <w:color w:val="111111"/>
          <w:sz w:val="20"/>
        </w:rPr>
        <w:t>Professionally sophisticated and technically credible</w:t>
      </w:r>
    </w:p>
    <w:p>
      <w:pPr>
        <w:pStyle w:val="ListBullet"/>
        <w:spacing w:before="0" w:after="60" w:line="259" w:lineRule="auto"/>
        <w:widowControl/>
        <w:jc w:val="left"/>
      </w:pPr>
      <w:r>
        <w:rPr>
          <w:rFonts w:ascii="Arial" w:hAnsi="Arial" w:eastAsia="Arial"/>
          <w:b w:val="0"/>
          <w:i w:val="0"/>
          <w:color w:val="111111"/>
          <w:sz w:val="20"/>
        </w:rPr>
        <w:t>Practical, understandable and useful</w:t>
      </w:r>
    </w:p>
    <w:p>
      <w:pPr>
        <w:pStyle w:val="ListBullet"/>
        <w:spacing w:before="0" w:after="60" w:line="259" w:lineRule="auto"/>
        <w:widowControl/>
        <w:jc w:val="left"/>
      </w:pPr>
      <w:r>
        <w:rPr>
          <w:rFonts w:ascii="Arial" w:hAnsi="Arial" w:eastAsia="Arial"/>
          <w:b w:val="0"/>
          <w:i w:val="0"/>
          <w:color w:val="111111"/>
          <w:sz w:val="20"/>
        </w:rPr>
        <w:t>Personally accessible and relationship-driven</w:t>
      </w:r>
    </w:p>
    <w:p>
      <w:pPr>
        <w:pStyle w:val="ListBullet"/>
        <w:spacing w:before="0" w:after="60" w:line="259" w:lineRule="auto"/>
        <w:widowControl/>
        <w:jc w:val="left"/>
      </w:pPr>
      <w:r>
        <w:rPr>
          <w:rFonts w:ascii="Arial" w:hAnsi="Arial" w:eastAsia="Arial"/>
          <w:b w:val="0"/>
          <w:i w:val="0"/>
          <w:color w:val="111111"/>
          <w:sz w:val="20"/>
        </w:rPr>
        <w:t>Community-rooted and Saskatchewan-aware</w:t>
      </w:r>
    </w:p>
    <w:p>
      <w:pPr>
        <w:pStyle w:val="ListBullet"/>
        <w:spacing w:before="0" w:after="60" w:line="259" w:lineRule="auto"/>
        <w:widowControl/>
        <w:jc w:val="left"/>
      </w:pPr>
      <w:r>
        <w:rPr>
          <w:rFonts w:ascii="Arial" w:hAnsi="Arial" w:eastAsia="Arial"/>
          <w:b w:val="0"/>
          <w:i w:val="0"/>
          <w:color w:val="111111"/>
          <w:sz w:val="20"/>
        </w:rPr>
        <w:t>Modern without appearing trendy</w:t>
      </w:r>
    </w:p>
    <w:p>
      <w:pPr>
        <w:pStyle w:val="ListBullet"/>
        <w:spacing w:before="0" w:after="60" w:line="259" w:lineRule="auto"/>
        <w:widowControl/>
        <w:jc w:val="left"/>
      </w:pPr>
      <w:r>
        <w:rPr>
          <w:rFonts w:ascii="Arial" w:hAnsi="Arial" w:eastAsia="Arial"/>
          <w:b w:val="0"/>
          <w:i w:val="0"/>
          <w:color w:val="111111"/>
          <w:sz w:val="20"/>
        </w:rPr>
        <w:t>Confident without appearing impersonal or overly corporate</w:t>
      </w:r>
    </w:p>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THE STANDARD</w:t>
            </w:r>
          </w:p>
          <w:p>
            <w:pPr>
              <w:spacing w:before="0" w:after="0" w:line="276" w:lineRule="auto"/>
            </w:pPr>
            <w:r>
              <w:rPr>
                <w:rFonts w:ascii="Arial" w:hAnsi="Arial" w:eastAsia="Arial"/>
                <w:b w:val="0"/>
                <w:i w:val="0"/>
                <w:color w:val="FFFFFF"/>
                <w:sz w:val="20"/>
              </w:rPr>
              <w:t>Every communication should leave the audience clearer about the issue, more confident in the path forward and certain of the next practical step.</w:t>
            </w:r>
          </w:p>
        </w:tc>
      </w:tr>
    </w:tbl>
    <w:p>
      <w:pPr>
        <w:spacing w:after="0"/>
      </w:pPr>
    </w:p>
    <w:p>
      <w:r>
        <w:br w:type="page"/>
      </w:r>
    </w:p>
    <w:p>
      <w:pPr>
        <w:keepNext/>
        <w:spacing w:before="0" w:after="60" w:line="240" w:lineRule="auto"/>
        <w:widowControl/>
        <w:jc w:val="left"/>
      </w:pPr>
      <w:r>
        <w:rPr>
          <w:rFonts w:ascii="Arial" w:hAnsi="Arial" w:eastAsia="Arial"/>
          <w:b/>
          <w:i w:val="0"/>
          <w:color w:val="B58A2C"/>
          <w:sz w:val="18"/>
        </w:rPr>
        <w:t>02</w:t>
      </w:r>
    </w:p>
    <w:p>
      <w:pPr>
        <w:keepNext/>
        <w:spacing w:before="0" w:after="160" w:line="240" w:lineRule="auto"/>
        <w:widowControl/>
        <w:jc w:val="left"/>
      </w:pPr>
      <w:r>
        <w:rPr>
          <w:rFonts w:ascii="Arial" w:hAnsi="Arial" w:eastAsia="Arial"/>
          <w:b/>
          <w:i w:val="0"/>
          <w:color w:val="111111"/>
          <w:sz w:val="50"/>
        </w:rPr>
        <w:t>Audience and market priorities</w:t>
      </w:r>
    </w:p>
    <w:p>
      <w:pPr>
        <w:spacing w:before="0" w:after="160" w:line="264" w:lineRule="auto"/>
        <w:widowControl/>
        <w:jc w:val="left"/>
      </w:pPr>
      <w:r>
        <w:rPr>
          <w:rFonts w:ascii="Arial" w:hAnsi="Arial" w:eastAsia="Arial"/>
          <w:b w:val="0"/>
          <w:i w:val="0"/>
          <w:color w:val="666666"/>
          <w:sz w:val="22"/>
        </w:rPr>
        <w:t>The firm-first brand speaks to client situations and decisions, while industry and professional context demonstrate understanding.</w:t>
      </w:r>
    </w:p>
    <w:p>
      <w:pPr>
        <w:keepNext/>
        <w:spacing w:before="160" w:after="80" w:line="240" w:lineRule="auto"/>
        <w:widowControl/>
        <w:jc w:val="left"/>
      </w:pPr>
      <w:r>
        <w:rPr>
          <w:rFonts w:ascii="Arial" w:hAnsi="Arial" w:eastAsia="Arial"/>
          <w:b/>
          <w:i w:val="0"/>
          <w:color w:val="111111"/>
          <w:sz w:val="28"/>
        </w:rPr>
        <w:t>Priority client groups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864"/>
            <w:shd w:fill="111111"/>
            <w:tcMar>
              <w:top w:w="80" w:type="dxa"/>
              <w:start w:w="90" w:type="dxa"/>
              <w:bottom w:w="80" w:type="dxa"/>
              <w:end w:w="90" w:type="dxa"/>
            </w:tcMar>
          </w:tcPr>
          <w:p>
            <w:r>
              <w:rPr>
                <w:rFonts w:ascii="Arial" w:hAnsi="Arial" w:eastAsia="Arial"/>
                <w:b/>
                <w:i w:val="0"/>
                <w:color w:val="FFFFFF"/>
                <w:sz w:val="17"/>
              </w:rPr>
              <w:t>#</w:t>
            </w:r>
          </w:p>
        </w:tc>
        <w:tc>
          <w:tcPr>
            <w:tcW w:type="dxa" w:w="3671"/>
            <w:shd w:fill="111111"/>
            <w:tcMar>
              <w:top w:w="80" w:type="dxa"/>
              <w:start w:w="90" w:type="dxa"/>
              <w:bottom w:w="80" w:type="dxa"/>
              <w:end w:w="90" w:type="dxa"/>
            </w:tcMar>
          </w:tcPr>
          <w:p>
            <w:r>
              <w:rPr>
                <w:rFonts w:ascii="Arial" w:hAnsi="Arial" w:eastAsia="Arial"/>
                <w:b/>
                <w:i w:val="0"/>
                <w:color w:val="FFFFFF"/>
                <w:sz w:val="17"/>
              </w:rPr>
              <w:t>Priority group</w:t>
            </w:r>
          </w:p>
        </w:tc>
        <w:tc>
          <w:tcPr>
            <w:tcW w:type="dxa" w:w="5544"/>
            <w:shd w:fill="111111"/>
            <w:tcMar>
              <w:top w:w="80" w:type="dxa"/>
              <w:start w:w="90" w:type="dxa"/>
              <w:bottom w:w="80" w:type="dxa"/>
              <w:end w:w="90" w:type="dxa"/>
            </w:tcMar>
          </w:tcPr>
          <w:p>
            <w:r>
              <w:rPr>
                <w:rFonts w:ascii="Arial" w:hAnsi="Arial" w:eastAsia="Arial"/>
                <w:b/>
                <w:i w:val="0"/>
                <w:color w:val="FFFFFF"/>
                <w:sz w:val="17"/>
              </w:rPr>
              <w:t>Typical decisions and opportunities</w:t>
            </w:r>
          </w:p>
        </w:tc>
      </w:tr>
      <w:tr>
        <w:trPr>
          <w:cantSplit/>
        </w:trPr>
        <w:tc>
          <w:tcPr>
            <w:tcW w:type="dxa" w:w="864"/>
            <w:tcMar>
              <w:top w:w="85" w:type="dxa"/>
              <w:start w:w="90" w:type="dxa"/>
              <w:bottom w:w="85" w:type="dxa"/>
              <w:end w:w="90" w:type="dxa"/>
            </w:tcMar>
            <w:tcBorders>
              <w:top w:val="nil"/>
              <w:left w:val="nil"/>
              <w:bottom w:val="single" w:sz="4" w:color="E8E5DE"/>
              <w:right w:val="nil"/>
            </w:tcBorders>
          </w:tcPr>
          <w:p>
            <w:r>
              <w:rPr>
                <w:rFonts w:ascii="Arial" w:hAnsi="Arial" w:eastAsia="Arial"/>
                <w:b/>
                <w:i w:val="0"/>
                <w:color w:val="B58A2C"/>
                <w:sz w:val="18"/>
              </w:rPr>
              <w:t>1</w:t>
            </w:r>
          </w:p>
        </w:tc>
        <w:tc>
          <w:tcPr>
            <w:tcW w:type="dxa" w:w="3671"/>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Owner-managed and family businesses</w:t>
            </w:r>
          </w:p>
        </w:tc>
        <w:tc>
          <w:tcPr>
            <w:tcW w:type="dxa" w:w="5544"/>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Growth, profitability, structure, financing, transition and owner decisions</w:t>
            </w:r>
          </w:p>
        </w:tc>
      </w:tr>
      <w:tr>
        <w:trPr>
          <w:cantSplit/>
        </w:trPr>
        <w:tc>
          <w:tcPr>
            <w:tcW w:type="dxa" w:w="864"/>
            <w:tcMar>
              <w:top w:w="85" w:type="dxa"/>
              <w:start w:w="90" w:type="dxa"/>
              <w:bottom w:w="85" w:type="dxa"/>
              <w:end w:w="90" w:type="dxa"/>
            </w:tcMar>
            <w:tcBorders>
              <w:top w:val="nil"/>
              <w:left w:val="nil"/>
              <w:bottom w:val="single" w:sz="4" w:color="E8E5DE"/>
              <w:right w:val="nil"/>
            </w:tcBorders>
          </w:tcPr>
          <w:p>
            <w:r>
              <w:rPr>
                <w:rFonts w:ascii="Arial" w:hAnsi="Arial" w:eastAsia="Arial"/>
                <w:b/>
                <w:i w:val="0"/>
                <w:color w:val="B58A2C"/>
                <w:sz w:val="18"/>
              </w:rPr>
              <w:t>2</w:t>
            </w:r>
          </w:p>
        </w:tc>
        <w:tc>
          <w:tcPr>
            <w:tcW w:type="dxa" w:w="3671"/>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Agriculture and agribusiness</w:t>
            </w:r>
          </w:p>
        </w:tc>
        <w:tc>
          <w:tcPr>
            <w:tcW w:type="dxa" w:w="5544"/>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Farm transition, tax planning, ownership, expansion and risk</w:t>
            </w:r>
          </w:p>
        </w:tc>
      </w:tr>
      <w:tr>
        <w:trPr>
          <w:cantSplit/>
        </w:trPr>
        <w:tc>
          <w:tcPr>
            <w:tcW w:type="dxa" w:w="864"/>
            <w:tcMar>
              <w:top w:w="85" w:type="dxa"/>
              <w:start w:w="90" w:type="dxa"/>
              <w:bottom w:w="85" w:type="dxa"/>
              <w:end w:w="90" w:type="dxa"/>
            </w:tcMar>
            <w:tcBorders>
              <w:top w:val="nil"/>
              <w:left w:val="nil"/>
              <w:bottom w:val="single" w:sz="4" w:color="E8E5DE"/>
              <w:right w:val="nil"/>
            </w:tcBorders>
          </w:tcPr>
          <w:p>
            <w:r>
              <w:rPr>
                <w:rFonts w:ascii="Arial" w:hAnsi="Arial" w:eastAsia="Arial"/>
                <w:b/>
                <w:i w:val="0"/>
                <w:color w:val="B58A2C"/>
                <w:sz w:val="18"/>
              </w:rPr>
              <w:t>3</w:t>
            </w:r>
          </w:p>
        </w:tc>
        <w:tc>
          <w:tcPr>
            <w:tcW w:type="dxa" w:w="3671"/>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Legal, financial and medical professionals</w:t>
            </w:r>
          </w:p>
        </w:tc>
        <w:tc>
          <w:tcPr>
            <w:tcW w:type="dxa" w:w="5544"/>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Practice structure, compensation, tax, succession and wealth</w:t>
            </w:r>
          </w:p>
        </w:tc>
      </w:tr>
      <w:tr>
        <w:trPr>
          <w:cantSplit/>
        </w:trPr>
        <w:tc>
          <w:tcPr>
            <w:tcW w:type="dxa" w:w="864"/>
            <w:tcMar>
              <w:top w:w="85" w:type="dxa"/>
              <w:start w:w="90" w:type="dxa"/>
              <w:bottom w:w="85" w:type="dxa"/>
              <w:end w:w="90" w:type="dxa"/>
            </w:tcMar>
            <w:tcBorders>
              <w:top w:val="nil"/>
              <w:left w:val="nil"/>
              <w:bottom w:val="single" w:sz="4" w:color="E8E5DE"/>
              <w:right w:val="nil"/>
            </w:tcBorders>
          </w:tcPr>
          <w:p>
            <w:r>
              <w:rPr>
                <w:rFonts w:ascii="Arial" w:hAnsi="Arial" w:eastAsia="Arial"/>
                <w:b/>
                <w:i w:val="0"/>
                <w:color w:val="B58A2C"/>
                <w:sz w:val="18"/>
              </w:rPr>
              <w:t>4</w:t>
            </w:r>
          </w:p>
        </w:tc>
        <w:tc>
          <w:tcPr>
            <w:tcW w:type="dxa" w:w="3671"/>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Succession, tax and family-wealth planning</w:t>
            </w:r>
          </w:p>
        </w:tc>
        <w:tc>
          <w:tcPr>
            <w:tcW w:type="dxa" w:w="5544"/>
            <w:tcMar>
              <w:top w:w="85" w:type="dxa"/>
              <w:start w:w="90" w:type="dxa"/>
              <w:bottom w:w="85" w:type="dxa"/>
              <w:end w:w="90" w:type="dxa"/>
            </w:tcMar>
            <w:tcBorders>
              <w:top w:val="nil"/>
              <w:left w:val="nil"/>
              <w:bottom w:val="single" w:sz="4" w:color="E8E5DE"/>
              <w:right w:val="nil"/>
            </w:tcBorders>
          </w:tcPr>
          <w:p>
            <w:r>
              <w:rPr>
                <w:rFonts w:ascii="Arial" w:hAnsi="Arial" w:eastAsia="Arial"/>
                <w:b w:val="0"/>
                <w:i w:val="0"/>
                <w:color w:val="111111"/>
                <w:sz w:val="18"/>
              </w:rPr>
              <w:t>Intergenerational transition, estate, ownership and long-term planning</w:t>
            </w:r>
          </w:p>
        </w:tc>
      </w:tr>
    </w:tbl>
    <w:p>
      <w:pPr>
        <w:keepNext/>
        <w:spacing w:before="160" w:after="80" w:line="240" w:lineRule="auto"/>
        <w:widowControl/>
        <w:jc w:val="left"/>
      </w:pPr>
      <w:r>
        <w:rPr>
          <w:rFonts w:ascii="Arial" w:hAnsi="Arial" w:eastAsia="Arial"/>
          <w:b/>
          <w:i w:val="0"/>
          <w:color w:val="111111"/>
          <w:sz w:val="28"/>
        </w:rPr>
        <w:t>Geographic identity</w:t>
      </w:r>
    </w:p>
    <w:p>
      <w:pPr>
        <w:spacing w:before="0" w:after="120" w:line="264" w:lineRule="auto"/>
        <w:widowControl/>
        <w:jc w:val="both"/>
      </w:pPr>
      <w:r>
        <w:rPr>
          <w:rFonts w:ascii="Arial" w:hAnsi="Arial" w:eastAsia="Arial"/>
          <w:b w:val="0"/>
          <w:i w:val="0"/>
          <w:color w:val="111111"/>
          <w:sz w:val="21"/>
        </w:rPr>
        <w:t>Janke LLP is rooted in Northeast Saskatchewan and serves clients throughout Saskatchewan. Geography is a supporting proof point rather than the lead message. It may be used on the About page, in footers, careers content and selected campaigns.</w:t>
      </w:r>
    </w:p>
    <w:p>
      <w:pPr>
        <w:keepNext w:val="0"/>
        <w:spacing w:before="0" w:after="60" w:line="240" w:lineRule="auto"/>
        <w:widowControl/>
        <w:jc w:val="left"/>
      </w:pPr>
      <w:r>
        <w:rPr>
          <w:rFonts w:ascii="Arial" w:hAnsi="Arial" w:eastAsia="Arial"/>
          <w:b/>
          <w:i w:val="0"/>
          <w:color w:val="B58A2C"/>
          <w:sz w:val="20"/>
        </w:rPr>
        <w:t>Preferred working language: “Rooted in Northeast Saskatchewan. Serving clients throughout Saskatchewan.”</w:t>
      </w:r>
    </w:p>
    <w:p>
      <w:pPr>
        <w:spacing w:before="0" w:after="160" w:line="264" w:lineRule="auto"/>
        <w:widowControl/>
        <w:jc w:val="left"/>
      </w:pPr>
      <w:r>
        <w:rPr>
          <w:rFonts w:ascii="Arial" w:hAnsi="Arial" w:eastAsia="Arial"/>
          <w:b w:val="0"/>
          <w:i w:val="0"/>
          <w:color w:val="666666"/>
          <w:sz w:val="19"/>
        </w:rPr>
        <w:t>Other context-appropriate lines may be used provided they preserve the balance of local roots and province-wide reach.</w:t>
      </w:r>
    </w:p>
    <w:p>
      <w:r>
        <w:br w:type="page"/>
      </w:r>
    </w:p>
    <w:p>
      <w:pPr>
        <w:keepNext/>
        <w:spacing w:before="0" w:after="60" w:line="240" w:lineRule="auto"/>
        <w:widowControl/>
        <w:jc w:val="left"/>
      </w:pPr>
      <w:r>
        <w:rPr>
          <w:rFonts w:ascii="Arial" w:hAnsi="Arial" w:eastAsia="Arial"/>
          <w:b/>
          <w:i w:val="0"/>
          <w:color w:val="B58A2C"/>
          <w:sz w:val="18"/>
        </w:rPr>
        <w:t>03</w:t>
      </w:r>
    </w:p>
    <w:p>
      <w:pPr>
        <w:keepNext/>
        <w:spacing w:before="0" w:after="160" w:line="240" w:lineRule="auto"/>
        <w:widowControl/>
        <w:jc w:val="left"/>
      </w:pPr>
      <w:r>
        <w:rPr>
          <w:rFonts w:ascii="Arial" w:hAnsi="Arial" w:eastAsia="Arial"/>
          <w:b/>
          <w:i w:val="0"/>
          <w:color w:val="111111"/>
          <w:sz w:val="50"/>
        </w:rPr>
        <w:t>Positioning and messaging</w:t>
      </w:r>
    </w:p>
    <w:p>
      <w:pPr>
        <w:spacing w:before="0" w:after="160" w:line="264" w:lineRule="auto"/>
        <w:widowControl/>
        <w:jc w:val="left"/>
      </w:pPr>
      <w:r>
        <w:rPr>
          <w:rFonts w:ascii="Arial" w:hAnsi="Arial" w:eastAsia="Arial"/>
          <w:b w:val="0"/>
          <w:i w:val="0"/>
          <w:color w:val="666666"/>
          <w:sz w:val="22"/>
        </w:rPr>
        <w:t>Messaging should begin with what the client is trying to improve, protect, decide or accomplish - not with a list of technical services.</w:t>
      </w:r>
    </w:p>
    <w:p>
      <w:pPr>
        <w:keepNext/>
        <w:spacing w:before="160" w:after="80" w:line="240" w:lineRule="auto"/>
        <w:widowControl/>
        <w:jc w:val="left"/>
      </w:pPr>
      <w:r>
        <w:rPr>
          <w:rFonts w:ascii="Arial" w:hAnsi="Arial" w:eastAsia="Arial"/>
          <w:b/>
          <w:i w:val="0"/>
          <w:color w:val="111111"/>
          <w:sz w:val="28"/>
        </w:rPr>
        <w:t>Supporting brand line</w:t>
      </w:r>
    </w:p>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GROUNDED ADVICE. GROW BETTER.</w:t>
            </w:r>
          </w:p>
          <w:p>
            <w:pPr>
              <w:spacing w:before="0" w:after="0" w:line="276" w:lineRule="auto"/>
            </w:pPr>
            <w:r>
              <w:rPr>
                <w:rFonts w:ascii="Arial" w:hAnsi="Arial" w:eastAsia="Arial"/>
                <w:b w:val="0"/>
                <w:i w:val="0"/>
                <w:color w:val="FFFFFF"/>
                <w:sz w:val="20"/>
              </w:rPr>
              <w:t>Use selectively as a headline or campaign device. Appropriate for website hero sections, presentations, proposals, recruitment and selected campaigns. Do not place it in the logo, email signature, formal letters, every social post or every document cover.</w:t>
            </w:r>
          </w:p>
        </w:tc>
      </w:tr>
    </w:tbl>
    <w:p>
      <w:pPr>
        <w:spacing w:after="0"/>
      </w:pPr>
    </w:p>
    <w:p>
      <w:pPr>
        <w:keepNext/>
        <w:spacing w:before="160" w:after="80" w:line="240" w:lineRule="auto"/>
        <w:widowControl/>
        <w:jc w:val="left"/>
      </w:pPr>
      <w:r>
        <w:rPr>
          <w:rFonts w:ascii="Arial" w:hAnsi="Arial" w:eastAsia="Arial"/>
          <w:b/>
          <w:i w:val="0"/>
          <w:color w:val="111111"/>
          <w:sz w:val="28"/>
        </w:rPr>
        <w:t>Service-description structure</w:t>
      </w:r>
    </w:p>
    <w:p>
      <w:pPr>
        <w:pStyle w:val="ListBullet"/>
        <w:spacing w:before="0" w:after="60" w:line="259" w:lineRule="auto"/>
        <w:widowControl/>
        <w:jc w:val="left"/>
      </w:pPr>
      <w:r>
        <w:rPr>
          <w:rFonts w:ascii="Arial" w:hAnsi="Arial" w:eastAsia="Arial"/>
          <w:b w:val="0"/>
          <w:i w:val="0"/>
          <w:color w:val="111111"/>
          <w:sz w:val="20"/>
        </w:rPr>
        <w:t>The client situation, decision or problem</w:t>
      </w:r>
    </w:p>
    <w:p>
      <w:pPr>
        <w:pStyle w:val="ListBullet"/>
        <w:spacing w:before="0" w:after="60" w:line="259" w:lineRule="auto"/>
        <w:widowControl/>
        <w:jc w:val="left"/>
      </w:pPr>
      <w:r>
        <w:rPr>
          <w:rFonts w:ascii="Arial" w:hAnsi="Arial" w:eastAsia="Arial"/>
          <w:b w:val="0"/>
          <w:i w:val="0"/>
          <w:color w:val="111111"/>
          <w:sz w:val="20"/>
        </w:rPr>
        <w:t>How Janke LLP helps</w:t>
      </w:r>
    </w:p>
    <w:p>
      <w:pPr>
        <w:pStyle w:val="ListBullet"/>
        <w:spacing w:before="0" w:after="60" w:line="259" w:lineRule="auto"/>
        <w:widowControl/>
        <w:jc w:val="left"/>
      </w:pPr>
      <w:r>
        <w:rPr>
          <w:rFonts w:ascii="Arial" w:hAnsi="Arial" w:eastAsia="Arial"/>
          <w:b w:val="0"/>
          <w:i w:val="0"/>
          <w:color w:val="111111"/>
          <w:sz w:val="20"/>
        </w:rPr>
        <w:t>The practical outcomes</w:t>
      </w:r>
    </w:p>
    <w:p>
      <w:pPr>
        <w:pStyle w:val="ListBullet"/>
        <w:spacing w:before="0" w:after="60" w:line="259" w:lineRule="auto"/>
        <w:widowControl/>
        <w:jc w:val="left"/>
      </w:pPr>
      <w:r>
        <w:rPr>
          <w:rFonts w:ascii="Arial" w:hAnsi="Arial" w:eastAsia="Arial"/>
          <w:b w:val="0"/>
          <w:i w:val="0"/>
          <w:color w:val="111111"/>
          <w:sz w:val="20"/>
        </w:rPr>
        <w:t>Who the service is best suited for</w:t>
      </w:r>
    </w:p>
    <w:p>
      <w:pPr>
        <w:pStyle w:val="ListBullet"/>
        <w:spacing w:before="0" w:after="60" w:line="259" w:lineRule="auto"/>
        <w:widowControl/>
        <w:jc w:val="left"/>
      </w:pPr>
      <w:r>
        <w:rPr>
          <w:rFonts w:ascii="Arial" w:hAnsi="Arial" w:eastAsia="Arial"/>
          <w:b w:val="0"/>
          <w:i w:val="0"/>
          <w:color w:val="111111"/>
          <w:sz w:val="20"/>
        </w:rPr>
        <w:t>A clear, low-pressure next step</w:t>
      </w:r>
    </w:p>
    <w:p>
      <w:pPr>
        <w:keepNext/>
        <w:spacing w:before="160" w:after="80" w:line="240" w:lineRule="auto"/>
        <w:widowControl/>
        <w:jc w:val="left"/>
      </w:pPr>
      <w:r>
        <w:rPr>
          <w:rFonts w:ascii="Arial" w:hAnsi="Arial" w:eastAsia="Arial"/>
          <w:b/>
          <w:i w:val="0"/>
          <w:color w:val="111111"/>
          <w:sz w:val="28"/>
        </w:rPr>
        <w:t>Pricing position</w:t>
      </w:r>
    </w:p>
    <w:p>
      <w:pPr>
        <w:spacing w:before="0" w:after="120" w:line="264" w:lineRule="auto"/>
        <w:widowControl/>
        <w:jc w:val="both"/>
      </w:pPr>
      <w:r>
        <w:rPr>
          <w:rFonts w:ascii="Arial" w:hAnsi="Arial" w:eastAsia="Arial"/>
          <w:b w:val="0"/>
          <w:i w:val="0"/>
          <w:color w:val="111111"/>
          <w:sz w:val="21"/>
        </w:rPr>
        <w:t>Clear expectations, transparent scope, and fees proportionate to the complexity and value of the work. Janke LLP should not position itself primarily as low-cost or affordable.</w:t>
      </w:r>
    </w:p>
    <w:p>
      <w:pPr>
        <w:keepNext/>
        <w:spacing w:before="160" w:after="80" w:line="240" w:lineRule="auto"/>
        <w:widowControl/>
        <w:jc w:val="left"/>
      </w:pPr>
      <w:r>
        <w:rPr>
          <w:rFonts w:ascii="Arial" w:hAnsi="Arial" w:eastAsia="Arial"/>
          <w:b/>
          <w:i w:val="0"/>
          <w:color w:val="111111"/>
          <w:sz w:val="28"/>
        </w:rPr>
        <w:t>Calls to action</w:t>
      </w:r>
    </w:p>
    <w:p>
      <w:pPr>
        <w:spacing w:before="0" w:after="120" w:line="264" w:lineRule="auto"/>
        <w:widowControl/>
        <w:jc w:val="both"/>
      </w:pPr>
      <w:r>
        <w:rPr>
          <w:rFonts w:ascii="Arial" w:hAnsi="Arial" w:eastAsia="Arial"/>
          <w:b w:val="0"/>
          <w:i w:val="0"/>
          <w:color w:val="111111"/>
          <w:sz w:val="21"/>
        </w:rPr>
        <w:t>Calls to action should be thoughtful, direct and low-pressure. Emphasize learning, growth, improvement, possibility and Janke LLP’s desire to help the client realize it.</w:t>
      </w:r>
    </w:p>
    <w:tbl>
      <w:tblPr>
        <w:tblW w:type="auto" w:w="0"/>
        <w:jc w:val="center"/>
        <w:tblLayout w:type="fixed"/>
        <w:tblLook w:firstColumn="1" w:firstRow="1" w:lastColumn="0" w:lastRow="0" w:noHBand="0" w:noVBand="1" w:val="04A0"/>
      </w:tblPr>
      <w:tblGrid>
        <w:gridCol w:w="5112"/>
        <w:gridCol w:w="5112"/>
      </w:tblGrid>
      <w:tr>
        <w:trPr>
          <w:cantSplit/>
        </w:trPr>
        <w:tc>
          <w:tcPr>
            <w:tcW w:type="dxa" w:w="5040"/>
            <w:tcMar>
              <w:top w:w="90" w:type="dxa"/>
              <w:start w:w="110" w:type="dxa"/>
              <w:bottom w:w="90" w:type="dxa"/>
              <w:end w:w="110" w:type="dxa"/>
            </w:tcMar>
            <w:shd w:fill="F7F5F0"/>
            <w:tcBorders>
              <w:top w:val="nil"/>
              <w:left w:val="nil"/>
              <w:bottom w:val="nil"/>
              <w:right w:val="nil"/>
            </w:tcBorders>
          </w:tcPr>
          <w:p>
            <w:r>
              <w:rPr>
                <w:rFonts w:ascii="Arial" w:hAnsi="Arial" w:eastAsia="Arial"/>
                <w:b/>
                <w:i w:val="0"/>
                <w:color w:val="111111"/>
                <w:sz w:val="21"/>
              </w:rPr>
              <w:t>Start the conversation</w:t>
            </w:r>
          </w:p>
        </w:tc>
        <w:tc>
          <w:tcPr>
            <w:tcW w:type="dxa" w:w="5040"/>
            <w:tcMar>
              <w:top w:w="90" w:type="dxa"/>
              <w:start w:w="110" w:type="dxa"/>
              <w:bottom w:w="90" w:type="dxa"/>
              <w:end w:w="110" w:type="dxa"/>
            </w:tcMar>
            <w:shd w:fill="F7F5F0"/>
            <w:tcBorders>
              <w:top w:val="nil"/>
              <w:left w:val="nil"/>
              <w:bottom w:val="nil"/>
              <w:right w:val="nil"/>
            </w:tcBorders>
          </w:tcPr>
          <w:p>
            <w:r>
              <w:rPr>
                <w:rFonts w:ascii="Arial" w:hAnsi="Arial" w:eastAsia="Arial"/>
                <w:b/>
                <w:i w:val="0"/>
                <w:color w:val="111111"/>
                <w:sz w:val="21"/>
              </w:rPr>
              <w:t>Tell us what you are working toward</w:t>
            </w:r>
          </w:p>
        </w:tc>
      </w:tr>
      <w:tr>
        <w:trPr>
          <w:cantSplit/>
        </w:trPr>
        <w:tc>
          <w:tcPr>
            <w:tcW w:type="dxa" w:w="5040"/>
            <w:tcMar>
              <w:top w:w="90" w:type="dxa"/>
              <w:start w:w="110" w:type="dxa"/>
              <w:bottom w:w="90" w:type="dxa"/>
              <w:end w:w="110" w:type="dxa"/>
            </w:tcMar>
            <w:shd w:fill="F7F5F0"/>
            <w:tcBorders>
              <w:top w:val="nil"/>
              <w:left w:val="nil"/>
              <w:bottom w:val="nil"/>
              <w:right w:val="nil"/>
            </w:tcBorders>
          </w:tcPr>
          <w:p>
            <w:r>
              <w:rPr>
                <w:rFonts w:ascii="Arial" w:hAnsi="Arial" w:eastAsia="Arial"/>
                <w:b/>
                <w:i w:val="0"/>
                <w:color w:val="111111"/>
                <w:sz w:val="21"/>
              </w:rPr>
              <w:t>Explore what is possible</w:t>
            </w:r>
          </w:p>
        </w:tc>
        <w:tc>
          <w:tcPr>
            <w:tcW w:type="dxa" w:w="5040"/>
            <w:tcMar>
              <w:top w:w="90" w:type="dxa"/>
              <w:start w:w="110" w:type="dxa"/>
              <w:bottom w:w="90" w:type="dxa"/>
              <w:end w:w="110" w:type="dxa"/>
            </w:tcMar>
            <w:shd w:fill="F7F5F0"/>
            <w:tcBorders>
              <w:top w:val="nil"/>
              <w:left w:val="nil"/>
              <w:bottom w:val="nil"/>
              <w:right w:val="nil"/>
            </w:tcBorders>
          </w:tcPr>
          <w:p>
            <w:r>
              <w:rPr>
                <w:rFonts w:ascii="Arial" w:hAnsi="Arial" w:eastAsia="Arial"/>
                <w:b/>
                <w:i w:val="0"/>
                <w:color w:val="111111"/>
                <w:sz w:val="21"/>
              </w:rPr>
              <w:t>See how we can help</w:t>
            </w:r>
          </w:p>
        </w:tc>
      </w:tr>
    </w:tbl>
    <w:p>
      <w:r>
        <w:br w:type="page"/>
      </w:r>
    </w:p>
    <w:p>
      <w:pPr>
        <w:keepNext/>
        <w:spacing w:before="0" w:after="60" w:line="240" w:lineRule="auto"/>
        <w:widowControl/>
        <w:jc w:val="left"/>
      </w:pPr>
      <w:r>
        <w:rPr>
          <w:rFonts w:ascii="Arial" w:hAnsi="Arial" w:eastAsia="Arial"/>
          <w:b/>
          <w:i w:val="0"/>
          <w:color w:val="B58A2C"/>
          <w:sz w:val="18"/>
        </w:rPr>
        <w:t>04</w:t>
      </w:r>
    </w:p>
    <w:p>
      <w:pPr>
        <w:keepNext/>
        <w:spacing w:before="0" w:after="160" w:line="240" w:lineRule="auto"/>
        <w:widowControl/>
        <w:jc w:val="left"/>
      </w:pPr>
      <w:r>
        <w:rPr>
          <w:rFonts w:ascii="Arial" w:hAnsi="Arial" w:eastAsia="Arial"/>
          <w:b/>
          <w:i w:val="0"/>
          <w:color w:val="111111"/>
          <w:sz w:val="50"/>
        </w:rPr>
        <w:t>Voice and editorial standards</w:t>
      </w:r>
    </w:p>
    <w:p>
      <w:pPr>
        <w:spacing w:before="0" w:after="160" w:line="264" w:lineRule="auto"/>
        <w:widowControl/>
        <w:jc w:val="left"/>
      </w:pPr>
      <w:r>
        <w:rPr>
          <w:rFonts w:ascii="Arial" w:hAnsi="Arial" w:eastAsia="Arial"/>
          <w:b w:val="0"/>
          <w:i w:val="0"/>
          <w:color w:val="666666"/>
          <w:sz w:val="22"/>
        </w:rPr>
        <w:t>The voice should sound like a highly capable adviser speaking clearly to a real person: calm, direct, useful and appropriately warm.</w:t>
      </w:r>
    </w:p>
    <w:tbl>
      <w:tblPr>
        <w:tblW w:type="auto" w:w="0"/>
        <w:jc w:val="center"/>
        <w:tblLayout w:type="fixed"/>
        <w:tblLook w:firstColumn="1" w:firstRow="1" w:lastColumn="0" w:lastRow="0" w:noHBand="0" w:noVBand="1" w:val="04A0"/>
      </w:tblPr>
      <w:tblGrid>
        <w:gridCol w:w="5112"/>
        <w:gridCol w:w="5112"/>
      </w:tblGrid>
      <w:tr>
        <w:trPr>
          <w:cantSplit/>
        </w:trPr>
        <w:tc>
          <w:tcPr>
            <w:tcW w:type="dxa" w:w="2880"/>
            <w:tcMar>
              <w:top w:w="75" w:type="dxa"/>
              <w:start w:w="90" w:type="dxa"/>
              <w:bottom w:w="75" w:type="dxa"/>
              <w:end w:w="90" w:type="dxa"/>
            </w:tcMar>
            <w:shd w:fill="111111"/>
            <w:tcBorders>
              <w:top w:val="nil"/>
              <w:left w:val="nil"/>
              <w:bottom w:val="single" w:sz="4" w:color="E8E5DE"/>
              <w:right w:val="nil"/>
            </w:tcBorders>
          </w:tcPr>
          <w:p>
            <w:r>
              <w:rPr>
                <w:rFonts w:ascii="Arial" w:hAnsi="Arial" w:eastAsia="Arial"/>
                <w:b/>
                <w:i w:val="0"/>
                <w:color w:val="FFFFFF"/>
                <w:sz w:val="18"/>
              </w:rPr>
              <w:t>Area</w:t>
            </w:r>
          </w:p>
        </w:tc>
        <w:tc>
          <w:tcPr>
            <w:tcW w:type="dxa" w:w="7200"/>
            <w:tcMar>
              <w:top w:w="75" w:type="dxa"/>
              <w:start w:w="90" w:type="dxa"/>
              <w:bottom w:w="75" w:type="dxa"/>
              <w:end w:w="90" w:type="dxa"/>
            </w:tcMar>
            <w:shd w:fill="111111"/>
            <w:tcBorders>
              <w:top w:val="nil"/>
              <w:left w:val="nil"/>
              <w:bottom w:val="single" w:sz="4" w:color="E8E5DE"/>
              <w:right w:val="nil"/>
            </w:tcBorders>
          </w:tcPr>
          <w:p>
            <w:r>
              <w:rPr>
                <w:rFonts w:ascii="Arial" w:hAnsi="Arial" w:eastAsia="Arial"/>
                <w:b/>
                <w:i w:val="0"/>
                <w:color w:val="FFFFFF"/>
                <w:sz w:val="18"/>
              </w:rPr>
              <w:t>Approved direction</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Core tone</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Professional, plainspoken, warm and confident</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Website and social</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More conversational, human and inviting</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Careers and education</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Encouraging, useful and opportunity-focused</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Formal advice</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Restrained, precise and technically credible</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Humour</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Limited, tasteful and situational</w:t>
            </w:r>
          </w:p>
        </w:tc>
      </w:tr>
      <w:tr>
        <w:trPr>
          <w:cantSplit/>
        </w:trPr>
        <w:tc>
          <w:tcPr>
            <w:tcW w:type="dxa" w:w="2880"/>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Jargon</w:t>
            </w:r>
          </w:p>
        </w:tc>
        <w:tc>
          <w:tcPr>
            <w:tcW w:type="dxa" w:w="7200"/>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Avoid where plain language is available</w:t>
            </w:r>
          </w:p>
        </w:tc>
      </w:tr>
    </w:tbl>
    <w:p>
      <w:pPr>
        <w:keepNext/>
        <w:spacing w:before="160" w:after="80" w:line="240" w:lineRule="auto"/>
        <w:widowControl/>
        <w:jc w:val="left"/>
      </w:pPr>
      <w:r>
        <w:rPr>
          <w:rFonts w:ascii="Arial" w:hAnsi="Arial" w:eastAsia="Arial"/>
          <w:b/>
          <w:i w:val="0"/>
          <w:color w:val="111111"/>
          <w:sz w:val="28"/>
        </w:rPr>
        <w:t>Writing rules</w:t>
      </w:r>
    </w:p>
    <w:p>
      <w:pPr>
        <w:pStyle w:val="ListBullet"/>
        <w:spacing w:before="0" w:after="60" w:line="259" w:lineRule="auto"/>
        <w:widowControl/>
        <w:jc w:val="left"/>
      </w:pPr>
      <w:r>
        <w:rPr>
          <w:rFonts w:ascii="Arial" w:hAnsi="Arial" w:eastAsia="Arial"/>
          <w:b w:val="0"/>
          <w:i w:val="0"/>
          <w:color w:val="111111"/>
          <w:sz w:val="20"/>
        </w:rPr>
        <w:t>Lead with the decision, need or opportunity.</w:t>
      </w:r>
    </w:p>
    <w:p>
      <w:pPr>
        <w:pStyle w:val="ListBullet"/>
        <w:spacing w:before="0" w:after="60" w:line="259" w:lineRule="auto"/>
        <w:widowControl/>
        <w:jc w:val="left"/>
      </w:pPr>
      <w:r>
        <w:rPr>
          <w:rFonts w:ascii="Arial" w:hAnsi="Arial" w:eastAsia="Arial"/>
          <w:b w:val="0"/>
          <w:i w:val="0"/>
          <w:color w:val="111111"/>
          <w:sz w:val="20"/>
        </w:rPr>
        <w:t>Explain complexity in practical language.</w:t>
      </w:r>
    </w:p>
    <w:p>
      <w:pPr>
        <w:pStyle w:val="ListBullet"/>
        <w:spacing w:before="0" w:after="60" w:line="259" w:lineRule="auto"/>
        <w:widowControl/>
        <w:jc w:val="left"/>
      </w:pPr>
      <w:r>
        <w:rPr>
          <w:rFonts w:ascii="Arial" w:hAnsi="Arial" w:eastAsia="Arial"/>
          <w:b w:val="0"/>
          <w:i w:val="0"/>
          <w:color w:val="111111"/>
          <w:sz w:val="20"/>
        </w:rPr>
        <w:t>Prefer short, active sentences and descriptive headings.</w:t>
      </w:r>
    </w:p>
    <w:p>
      <w:pPr>
        <w:pStyle w:val="ListBullet"/>
        <w:spacing w:before="0" w:after="60" w:line="259" w:lineRule="auto"/>
        <w:widowControl/>
        <w:jc w:val="left"/>
      </w:pPr>
      <w:r>
        <w:rPr>
          <w:rFonts w:ascii="Arial" w:hAnsi="Arial" w:eastAsia="Arial"/>
          <w:b w:val="0"/>
          <w:i w:val="0"/>
          <w:color w:val="111111"/>
          <w:sz w:val="20"/>
        </w:rPr>
        <w:t>Make responsibilities, timing and next steps explicit.</w:t>
      </w:r>
    </w:p>
    <w:p>
      <w:pPr>
        <w:pStyle w:val="ListBullet"/>
        <w:spacing w:before="0" w:after="60" w:line="259" w:lineRule="auto"/>
        <w:widowControl/>
        <w:jc w:val="left"/>
      </w:pPr>
      <w:r>
        <w:rPr>
          <w:rFonts w:ascii="Arial" w:hAnsi="Arial" w:eastAsia="Arial"/>
          <w:b w:val="0"/>
          <w:i w:val="0"/>
          <w:color w:val="111111"/>
          <w:sz w:val="20"/>
        </w:rPr>
        <w:t>Avoid hype, vague superlatives, filler and unnecessary formality.</w:t>
      </w:r>
    </w:p>
    <w:p>
      <w:pPr>
        <w:pStyle w:val="ListBullet"/>
        <w:spacing w:before="0" w:after="60" w:line="259" w:lineRule="auto"/>
        <w:widowControl/>
        <w:jc w:val="left"/>
      </w:pPr>
      <w:r>
        <w:rPr>
          <w:rFonts w:ascii="Arial" w:hAnsi="Arial" w:eastAsia="Arial"/>
          <w:b w:val="0"/>
          <w:i w:val="0"/>
          <w:color w:val="111111"/>
          <w:sz w:val="20"/>
        </w:rPr>
        <w:t>Verify technical claims, names, dates, calculations and client-specific facts before release.</w:t>
      </w:r>
    </w:p>
    <w:p>
      <w:pPr>
        <w:keepNext/>
        <w:spacing w:before="160" w:after="80" w:line="240" w:lineRule="auto"/>
        <w:widowControl/>
        <w:jc w:val="left"/>
      </w:pPr>
      <w:r>
        <w:rPr>
          <w:rFonts w:ascii="Arial" w:hAnsi="Arial" w:eastAsia="Arial"/>
          <w:b/>
          <w:i w:val="0"/>
          <w:color w:val="111111"/>
          <w:sz w:val="28"/>
        </w:rPr>
        <w:t>Client stories and outcomes</w:t>
      </w:r>
    </w:p>
    <w:p>
      <w:pPr>
        <w:spacing w:before="0" w:after="120" w:line="264" w:lineRule="auto"/>
        <w:widowControl/>
        <w:jc w:val="both"/>
      </w:pPr>
      <w:r>
        <w:rPr>
          <w:rFonts w:ascii="Arial" w:hAnsi="Arial" w:eastAsia="Arial"/>
          <w:b w:val="0"/>
          <w:i w:val="0"/>
          <w:color w:val="111111"/>
          <w:sz w:val="20"/>
        </w:rPr>
        <w:t>Specific results may be used only when accurate, supportable, appropriately authorized and presented with sufficient context to avoid implying guaranteed results. Testimonials may be lightly edited for clarity and length without changing meaning, and the client must approve final wording before publication.</w:t>
      </w:r>
    </w:p>
    <w:p>
      <w:r>
        <w:br w:type="page"/>
      </w:r>
    </w:p>
    <w:p>
      <w:pPr>
        <w:keepNext/>
        <w:spacing w:before="0" w:after="60" w:line="240" w:lineRule="auto"/>
        <w:widowControl/>
        <w:jc w:val="left"/>
      </w:pPr>
      <w:r>
        <w:rPr>
          <w:rFonts w:ascii="Arial" w:hAnsi="Arial" w:eastAsia="Arial"/>
          <w:b/>
          <w:i w:val="0"/>
          <w:color w:val="B58A2C"/>
          <w:sz w:val="18"/>
        </w:rPr>
        <w:t>05</w:t>
      </w:r>
    </w:p>
    <w:p>
      <w:pPr>
        <w:keepNext/>
        <w:spacing w:before="0" w:after="160" w:line="240" w:lineRule="auto"/>
        <w:widowControl/>
        <w:jc w:val="left"/>
      </w:pPr>
      <w:r>
        <w:rPr>
          <w:rFonts w:ascii="Arial" w:hAnsi="Arial" w:eastAsia="Arial"/>
          <w:b/>
          <w:i w:val="0"/>
          <w:color w:val="111111"/>
          <w:sz w:val="50"/>
        </w:rPr>
        <w:t>Visual identity</w:t>
      </w:r>
    </w:p>
    <w:p>
      <w:pPr>
        <w:spacing w:before="0" w:after="160" w:line="264" w:lineRule="auto"/>
        <w:widowControl/>
        <w:jc w:val="left"/>
      </w:pPr>
      <w:r>
        <w:rPr>
          <w:rFonts w:ascii="Arial" w:hAnsi="Arial" w:eastAsia="Arial"/>
          <w:b w:val="0"/>
          <w:i w:val="0"/>
          <w:color w:val="666666"/>
          <w:sz w:val="22"/>
        </w:rPr>
        <w:t>The visual identity should feel premium because it is disciplined, not because it is decorated. Black and white do most of the work; gold is the finishing detail.</w:t>
      </w:r>
    </w:p>
    <w:p>
      <w:pPr>
        <w:keepNext/>
        <w:spacing w:before="160" w:after="80" w:line="240" w:lineRule="auto"/>
        <w:widowControl/>
        <w:jc w:val="left"/>
      </w:pPr>
      <w:r>
        <w:rPr>
          <w:rFonts w:ascii="Arial" w:hAnsi="Arial" w:eastAsia="Arial"/>
          <w:b/>
          <w:i w:val="0"/>
          <w:color w:val="111111"/>
          <w:sz w:val="28"/>
        </w:rPr>
        <w:t>Logo</w:t>
      </w:r>
    </w:p>
    <w:p>
      <w:pPr>
        <w:spacing w:before="0" w:after="120" w:line="264" w:lineRule="auto"/>
        <w:widowControl/>
        <w:jc w:val="both"/>
      </w:pPr>
      <w:r>
        <w:rPr>
          <w:rFonts w:ascii="Arial" w:hAnsi="Arial" w:eastAsia="Arial"/>
          <w:b w:val="0"/>
          <w:i w:val="0"/>
          <w:color w:val="111111"/>
          <w:sz w:val="21"/>
        </w:rPr>
        <w:t>The existing Janke LLP logo remains structurally unchanged. Do not alter its typography, spacing, proportions or arrangement. Use approved black, white and monochrome files; do not automatically add gold to the logo.</w:t>
      </w:r>
    </w:p>
    <w:p>
      <w:pPr>
        <w:pStyle w:val="ListBullet"/>
        <w:spacing w:before="0" w:after="60" w:line="259" w:lineRule="auto"/>
        <w:widowControl/>
        <w:jc w:val="left"/>
      </w:pPr>
      <w:r>
        <w:rPr>
          <w:rFonts w:ascii="Arial" w:hAnsi="Arial" w:eastAsia="Arial"/>
          <w:b w:val="0"/>
          <w:i w:val="0"/>
          <w:color w:val="111111"/>
          <w:sz w:val="20"/>
        </w:rPr>
        <w:t>Maintain clear space and minimum-size requirements.</w:t>
      </w:r>
    </w:p>
    <w:p>
      <w:pPr>
        <w:pStyle w:val="ListBullet"/>
        <w:spacing w:before="0" w:after="60" w:line="259" w:lineRule="auto"/>
        <w:widowControl/>
        <w:jc w:val="left"/>
      </w:pPr>
      <w:r>
        <w:rPr>
          <w:rFonts w:ascii="Arial" w:hAnsi="Arial" w:eastAsia="Arial"/>
          <w:b w:val="0"/>
          <w:i w:val="0"/>
          <w:color w:val="111111"/>
          <w:sz w:val="20"/>
        </w:rPr>
        <w:t>Use black on light backgrounds and white on dark backgrounds.</w:t>
      </w:r>
    </w:p>
    <w:p>
      <w:pPr>
        <w:pStyle w:val="ListBullet"/>
        <w:spacing w:before="0" w:after="60" w:line="259" w:lineRule="auto"/>
        <w:widowControl/>
        <w:jc w:val="left"/>
      </w:pPr>
      <w:r>
        <w:rPr>
          <w:rFonts w:ascii="Arial" w:hAnsi="Arial" w:eastAsia="Arial"/>
          <w:b w:val="0"/>
          <w:i w:val="0"/>
          <w:color w:val="111111"/>
          <w:sz w:val="20"/>
        </w:rPr>
        <w:t>Do not distort, restack, redraw, crop, outline, shadow or apply effects.</w:t>
      </w:r>
    </w:p>
    <w:p>
      <w:pPr>
        <w:pStyle w:val="ListBullet"/>
        <w:spacing w:before="0" w:after="60" w:line="259" w:lineRule="auto"/>
        <w:widowControl/>
        <w:jc w:val="left"/>
      </w:pPr>
      <w:r>
        <w:rPr>
          <w:rFonts w:ascii="Arial" w:hAnsi="Arial" w:eastAsia="Arial"/>
          <w:b w:val="0"/>
          <w:i w:val="0"/>
          <w:color w:val="111111"/>
          <w:sz w:val="20"/>
        </w:rPr>
        <w:t>Never attach the supporting brand line to the logo.</w:t>
      </w:r>
    </w:p>
    <w:p>
      <w:pPr>
        <w:keepNext/>
        <w:spacing w:before="160" w:after="80" w:line="240" w:lineRule="auto"/>
        <w:widowControl/>
        <w:jc w:val="left"/>
      </w:pPr>
      <w:r>
        <w:rPr>
          <w:rFonts w:ascii="Arial" w:hAnsi="Arial" w:eastAsia="Arial"/>
          <w:b/>
          <w:i w:val="0"/>
          <w:color w:val="111111"/>
          <w:sz w:val="28"/>
        </w:rPr>
        <w:t>Approved colour system</w:t>
      </w:r>
    </w:p>
    <w:tbl>
      <w:tblPr>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792"/>
            <w:shd w:fill="111111"/>
            <w:tcMar>
              <w:top w:w="70" w:type="dxa"/>
              <w:start w:w="80" w:type="dxa"/>
              <w:bottom w:w="70" w:type="dxa"/>
              <w:end w:w="80" w:type="dxa"/>
            </w:tcMar>
          </w:tcPr>
          <w:p>
            <w:r>
              <w:rPr>
                <w:rFonts w:ascii="Arial" w:hAnsi="Arial" w:eastAsia="Arial"/>
                <w:b/>
                <w:i w:val="0"/>
                <w:color w:val="FFFFFF"/>
                <w:sz w:val="17"/>
              </w:rPr>
            </w:r>
          </w:p>
        </w:tc>
        <w:tc>
          <w:tcPr>
            <w:tcW w:type="dxa" w:w="2448"/>
            <w:shd w:fill="111111"/>
            <w:tcMar>
              <w:top w:w="70" w:type="dxa"/>
              <w:start w:w="80" w:type="dxa"/>
              <w:bottom w:w="70" w:type="dxa"/>
              <w:end w:w="80" w:type="dxa"/>
            </w:tcMar>
          </w:tcPr>
          <w:p>
            <w:r>
              <w:rPr>
                <w:rFonts w:ascii="Arial" w:hAnsi="Arial" w:eastAsia="Arial"/>
                <w:b/>
                <w:i w:val="0"/>
                <w:color w:val="FFFFFF"/>
                <w:sz w:val="17"/>
              </w:rPr>
              <w:t>Colour</w:t>
            </w:r>
          </w:p>
        </w:tc>
        <w:tc>
          <w:tcPr>
            <w:tcW w:type="dxa" w:w="3168"/>
            <w:shd w:fill="111111"/>
            <w:tcMar>
              <w:top w:w="70" w:type="dxa"/>
              <w:start w:w="80" w:type="dxa"/>
              <w:bottom w:w="70" w:type="dxa"/>
              <w:end w:w="80" w:type="dxa"/>
            </w:tcMar>
          </w:tcPr>
          <w:p>
            <w:r>
              <w:rPr>
                <w:rFonts w:ascii="Arial" w:hAnsi="Arial" w:eastAsia="Arial"/>
                <w:b/>
                <w:i w:val="0"/>
                <w:color w:val="FFFFFF"/>
                <w:sz w:val="17"/>
              </w:rPr>
              <w:t>Specification</w:t>
            </w:r>
          </w:p>
        </w:tc>
        <w:tc>
          <w:tcPr>
            <w:tcW w:type="dxa" w:w="3671"/>
            <w:shd w:fill="111111"/>
            <w:tcMar>
              <w:top w:w="70" w:type="dxa"/>
              <w:start w:w="80" w:type="dxa"/>
              <w:bottom w:w="70" w:type="dxa"/>
              <w:end w:w="80" w:type="dxa"/>
            </w:tcMar>
          </w:tcPr>
          <w:p>
            <w:r>
              <w:rPr>
                <w:rFonts w:ascii="Arial" w:hAnsi="Arial" w:eastAsia="Arial"/>
                <w:b/>
                <w:i w:val="0"/>
                <w:color w:val="FFFFFF"/>
                <w:sz w:val="17"/>
              </w:rPr>
              <w:t>Primary use</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111111"/>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Near-black</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#111111  |  RGB 17, 17, 17</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Primary dark background and anchor</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FFFFFF"/>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White</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#FFFFFF  |  RGB 255, 255, 255</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Primary light background and body text on black</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D4A842"/>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Bright prairie gold</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#D4A842  |  RGB 212, 168, 66</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Headlines and key emphasis on black</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B58A2C"/>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Core prairie gold</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#B58A2C  |  RGB 181, 138, 44</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Rules, markers, icons and restrained accents</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F7F5F0"/>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Warm white</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#F7F5F0  |  RGB 247, 245, 240</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Optional supporting light background</w:t>
            </w:r>
          </w:p>
        </w:tc>
      </w:tr>
      <w:tr>
        <w:trPr>
          <w:cantSplit/>
        </w:trPr>
        <w:tc>
          <w:tcPr>
            <w:tcW w:type="dxa" w:w="792"/>
            <w:tcMar>
              <w:top w:w="70" w:type="dxa"/>
              <w:start w:w="80" w:type="dxa"/>
              <w:bottom w:w="70" w:type="dxa"/>
              <w:end w:w="80" w:type="dxa"/>
            </w:tcMar>
            <w:tcBorders>
              <w:top w:val="single" w:sz="4" w:color="C9C5BD"/>
              <w:left w:val="single" w:sz="4" w:color="C9C5BD"/>
              <w:bottom w:val="single" w:sz="4" w:color="C9C5BD"/>
              <w:right w:val="single" w:sz="4" w:color="C9C5BD"/>
            </w:tcBorders>
            <w:shd w:fill="C9C5BD"/>
          </w:tcPr>
          <w:p/>
        </w:tc>
        <w:tc>
          <w:tcPr>
            <w:tcW w:type="dxa" w:w="2448"/>
            <w:tcMar>
              <w:top w:w="70" w:type="dxa"/>
              <w:start w:w="80" w:type="dxa"/>
              <w:bottom w:w="70" w:type="dxa"/>
              <w:end w:w="80" w:type="dxa"/>
            </w:tcMar>
            <w:tcBorders>
              <w:top w:val="nil"/>
              <w:left w:val="nil"/>
              <w:bottom w:val="single" w:sz="4" w:color="E8E5DE"/>
              <w:right w:val="nil"/>
            </w:tcBorders>
          </w:tcPr>
          <w:p>
            <w:r>
              <w:rPr>
                <w:rFonts w:ascii="Arial" w:hAnsi="Arial" w:eastAsia="Arial"/>
                <w:b/>
                <w:i w:val="0"/>
                <w:color w:val="111111"/>
                <w:sz w:val="17"/>
              </w:rPr>
              <w:t>Stone</w:t>
            </w:r>
          </w:p>
        </w:tc>
        <w:tc>
          <w:tcPr>
            <w:tcW w:type="dxa" w:w="3168"/>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#C9C5BD  |  RGB 201, 197, 189</w:t>
            </w:r>
          </w:p>
        </w:tc>
        <w:tc>
          <w:tcPr>
            <w:tcW w:type="dxa" w:w="3671"/>
            <w:tcMar>
              <w:top w:w="70" w:type="dxa"/>
              <w:start w:w="80" w:type="dxa"/>
              <w:bottom w:w="70" w:type="dxa"/>
              <w:end w:w="80" w:type="dxa"/>
            </w:tcMar>
            <w:tcBorders>
              <w:top w:val="nil"/>
              <w:left w:val="nil"/>
              <w:bottom w:val="single" w:sz="4" w:color="E8E5DE"/>
              <w:right w:val="nil"/>
            </w:tcBorders>
          </w:tcPr>
          <w:p>
            <w:r>
              <w:rPr>
                <w:rFonts w:ascii="Arial" w:hAnsi="Arial" w:eastAsia="Arial"/>
                <w:b w:val="0"/>
                <w:i w:val="0"/>
                <w:color w:val="111111"/>
                <w:sz w:val="17"/>
              </w:rPr>
              <w:t>Borders, secondary dividers and subtle neutral support</w:t>
            </w:r>
          </w:p>
        </w:tc>
      </w:tr>
    </w:tbl>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COLOUR USE HIERARCHY</w:t>
            </w:r>
          </w:p>
          <w:p>
            <w:pPr>
              <w:spacing w:before="0" w:after="0" w:line="276" w:lineRule="auto"/>
            </w:pPr>
            <w:r>
              <w:rPr>
                <w:rFonts w:ascii="Arial" w:hAnsi="Arial" w:eastAsia="Arial"/>
                <w:b w:val="0"/>
                <w:i w:val="0"/>
                <w:color w:val="FFFFFF"/>
                <w:sz w:val="20"/>
              </w:rPr>
              <w:t>Aim for approximately 90-95% black and white and no more than 5-10% gold. Gold should feel like a premium detail because it is rare. Do not use it for body text, every heading, large page fills, routine correspondence or email signatures.</w:t>
            </w:r>
          </w:p>
        </w:tc>
      </w:tr>
    </w:tbl>
    <w:p>
      <w:pPr>
        <w:spacing w:after="0"/>
      </w:pPr>
    </w:p>
    <w:p>
      <w:r>
        <w:br w:type="page"/>
      </w:r>
    </w:p>
    <w:p>
      <w:pPr>
        <w:keepNext/>
        <w:spacing w:before="0" w:after="60" w:line="240" w:lineRule="auto"/>
        <w:widowControl/>
        <w:jc w:val="left"/>
      </w:pPr>
      <w:r>
        <w:rPr>
          <w:rFonts w:ascii="Arial" w:hAnsi="Arial" w:eastAsia="Arial"/>
          <w:b/>
          <w:i w:val="0"/>
          <w:color w:val="B58A2C"/>
          <w:sz w:val="18"/>
        </w:rPr>
        <w:t>06</w:t>
      </w:r>
    </w:p>
    <w:p>
      <w:pPr>
        <w:keepNext/>
        <w:spacing w:before="0" w:after="160" w:line="240" w:lineRule="auto"/>
        <w:widowControl/>
        <w:jc w:val="left"/>
      </w:pPr>
      <w:r>
        <w:rPr>
          <w:rFonts w:ascii="Arial" w:hAnsi="Arial" w:eastAsia="Arial"/>
          <w:b/>
          <w:i w:val="0"/>
          <w:color w:val="111111"/>
          <w:sz w:val="50"/>
        </w:rPr>
        <w:t>Typography, layout and application</w:t>
      </w:r>
    </w:p>
    <w:p>
      <w:pPr>
        <w:spacing w:before="0" w:after="160" w:line="264" w:lineRule="auto"/>
        <w:widowControl/>
        <w:jc w:val="left"/>
      </w:pPr>
      <w:r>
        <w:rPr>
          <w:rFonts w:ascii="Arial" w:hAnsi="Arial" w:eastAsia="Arial"/>
          <w:b w:val="0"/>
          <w:i w:val="0"/>
          <w:color w:val="666666"/>
          <w:sz w:val="22"/>
        </w:rPr>
        <w:t>A clear hierarchy, generous spacing and disciplined contrast create the premium effect. Avoid decorative complexity and crowded layouts.</w:t>
      </w:r>
    </w:p>
    <w:p>
      <w:pPr>
        <w:keepNext/>
        <w:spacing w:before="160" w:after="80" w:line="240" w:lineRule="auto"/>
        <w:widowControl/>
        <w:jc w:val="left"/>
      </w:pPr>
      <w:r>
        <w:rPr>
          <w:rFonts w:ascii="Arial" w:hAnsi="Arial" w:eastAsia="Arial"/>
          <w:b/>
          <w:i w:val="0"/>
          <w:color w:val="111111"/>
          <w:sz w:val="28"/>
        </w:rPr>
        <w:t>Typography</w:t>
      </w:r>
    </w:p>
    <w:tbl>
      <w:tblPr>
        <w:tblW w:type="auto" w:w="0"/>
        <w:jc w:val="center"/>
        <w:tblLayout w:type="fixed"/>
        <w:tblLook w:firstColumn="1" w:firstRow="1" w:lastColumn="0" w:lastRow="0" w:noHBand="0" w:noVBand="1" w:val="04A0"/>
      </w:tblPr>
      <w:tblGrid>
        <w:gridCol w:w="3408"/>
        <w:gridCol w:w="3408"/>
        <w:gridCol w:w="3408"/>
      </w:tblGrid>
      <w:tr>
        <w:trPr>
          <w:cantSplit/>
        </w:trPr>
        <w:tc>
          <w:tcPr>
            <w:tcW w:type="dxa" w:w="2376"/>
            <w:tcMar>
              <w:top w:w="75" w:type="dxa"/>
              <w:start w:w="90" w:type="dxa"/>
              <w:bottom w:w="75" w:type="dxa"/>
              <w:end w:w="90" w:type="dxa"/>
            </w:tcMar>
            <w:shd w:fill="111111"/>
            <w:tcBorders>
              <w:top w:val="nil"/>
              <w:left w:val="nil"/>
              <w:bottom w:val="single" w:sz="4" w:color="E8E5DE"/>
              <w:right w:val="nil"/>
            </w:tcBorders>
          </w:tcPr>
          <w:p>
            <w:r>
              <w:rPr>
                <w:rFonts w:ascii="Arial" w:hAnsi="Arial" w:eastAsia="Arial"/>
                <w:b/>
                <w:i w:val="0"/>
                <w:color w:val="FFFFFF"/>
                <w:sz w:val="18"/>
              </w:rPr>
              <w:t>Typeface</w:t>
            </w:r>
          </w:p>
        </w:tc>
        <w:tc>
          <w:tcPr>
            <w:tcW w:type="dxa" w:w="3168"/>
            <w:tcMar>
              <w:top w:w="75" w:type="dxa"/>
              <w:start w:w="90" w:type="dxa"/>
              <w:bottom w:w="75" w:type="dxa"/>
              <w:end w:w="90" w:type="dxa"/>
            </w:tcMar>
            <w:shd w:fill="111111"/>
            <w:tcBorders>
              <w:top w:val="nil"/>
              <w:left w:val="nil"/>
              <w:bottom w:val="single" w:sz="4" w:color="E8E5DE"/>
              <w:right w:val="nil"/>
            </w:tcBorders>
          </w:tcPr>
          <w:p>
            <w:r>
              <w:rPr>
                <w:rFonts w:ascii="Arial" w:hAnsi="Arial" w:eastAsia="Arial"/>
                <w:b/>
                <w:i w:val="0"/>
                <w:color w:val="FFFFFF"/>
                <w:sz w:val="18"/>
              </w:rPr>
              <w:t>Role</w:t>
            </w:r>
          </w:p>
        </w:tc>
        <w:tc>
          <w:tcPr>
            <w:tcW w:type="dxa" w:w="4536"/>
            <w:tcMar>
              <w:top w:w="75" w:type="dxa"/>
              <w:start w:w="90" w:type="dxa"/>
              <w:bottom w:w="75" w:type="dxa"/>
              <w:end w:w="90" w:type="dxa"/>
            </w:tcMar>
            <w:shd w:fill="111111"/>
            <w:tcBorders>
              <w:top w:val="nil"/>
              <w:left w:val="nil"/>
              <w:bottom w:val="single" w:sz="4" w:color="E8E5DE"/>
              <w:right w:val="nil"/>
            </w:tcBorders>
          </w:tcPr>
          <w:p>
            <w:r>
              <w:rPr>
                <w:rFonts w:ascii="Arial" w:hAnsi="Arial" w:eastAsia="Arial"/>
                <w:b/>
                <w:i w:val="0"/>
                <w:color w:val="FFFFFF"/>
                <w:sz w:val="18"/>
              </w:rPr>
              <w:t>Application</w:t>
            </w:r>
          </w:p>
        </w:tc>
      </w:tr>
      <w:tr>
        <w:trPr>
          <w:cantSplit/>
        </w:trPr>
        <w:tc>
          <w:tcPr>
            <w:tcW w:type="dxa" w:w="2376"/>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Gilroy</w:t>
            </w:r>
          </w:p>
        </w:tc>
        <w:tc>
          <w:tcPr>
            <w:tcW w:type="dxa" w:w="3168"/>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Primary heading face</w:t>
            </w:r>
          </w:p>
        </w:tc>
        <w:tc>
          <w:tcPr>
            <w:tcW w:type="dxa" w:w="453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Marketing headlines, website headings, presentations, signage and graphic materials</w:t>
            </w:r>
          </w:p>
        </w:tc>
      </w:tr>
      <w:tr>
        <w:trPr>
          <w:cantSplit/>
        </w:trPr>
        <w:tc>
          <w:tcPr>
            <w:tcW w:type="dxa" w:w="2376"/>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Arial</w:t>
            </w:r>
          </w:p>
        </w:tc>
        <w:tc>
          <w:tcPr>
            <w:tcW w:type="dxa" w:w="3168"/>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Formal and operational face</w:t>
            </w:r>
          </w:p>
        </w:tc>
        <w:tc>
          <w:tcPr>
            <w:tcW w:type="dxa" w:w="453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Letters, memos, reports, email, spreadsheets, dense tables and body copy</w:t>
            </w:r>
          </w:p>
        </w:tc>
      </w:tr>
      <w:tr>
        <w:trPr>
          <w:cantSplit/>
        </w:trPr>
        <w:tc>
          <w:tcPr>
            <w:tcW w:type="dxa" w:w="2376"/>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Manrope</w:t>
            </w:r>
          </w:p>
        </w:tc>
        <w:tc>
          <w:tcPr>
            <w:tcW w:type="dxa" w:w="3168"/>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Web fallback</w:t>
            </w:r>
          </w:p>
        </w:tc>
        <w:tc>
          <w:tcPr>
            <w:tcW w:type="dxa" w:w="453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Compatible digital alternative when Gilroy is unavailable</w:t>
            </w:r>
          </w:p>
        </w:tc>
      </w:tr>
    </w:tbl>
    <w:p>
      <w:pPr>
        <w:keepNext/>
        <w:spacing w:before="160" w:after="80" w:line="240" w:lineRule="auto"/>
        <w:widowControl/>
        <w:jc w:val="left"/>
      </w:pPr>
      <w:r>
        <w:rPr>
          <w:rFonts w:ascii="Arial" w:hAnsi="Arial" w:eastAsia="Arial"/>
          <w:b/>
          <w:i w:val="0"/>
          <w:color w:val="111111"/>
          <w:sz w:val="28"/>
        </w:rPr>
        <w:t>Application rules</w:t>
      </w:r>
    </w:p>
    <w:tbl>
      <w:tblPr>
        <w:tblW w:type="auto" w:w="0"/>
        <w:jc w:val="center"/>
        <w:tblLayout w:type="fixed"/>
        <w:tblLook w:firstColumn="1" w:firstRow="1" w:lastColumn="0" w:lastRow="0" w:noHBand="0" w:noVBand="1" w:val="04A0"/>
      </w:tblPr>
      <w:tblGrid>
        <w:gridCol w:w="5112"/>
        <w:gridCol w:w="5112"/>
      </w:tblGrid>
      <w:tr>
        <w:trPr>
          <w:cantSplit/>
        </w:trPr>
        <w:tc>
          <w:tcPr>
            <w:tcW w:type="dxa" w:w="3024"/>
            <w:tcMar>
              <w:top w:w="85" w:type="dxa"/>
              <w:start w:w="95" w:type="dxa"/>
              <w:bottom w:w="85" w:type="dxa"/>
              <w:end w:w="95" w:type="dxa"/>
            </w:tcMar>
            <w:tcBorders>
              <w:top w:val="nil"/>
              <w:left w:val="nil"/>
              <w:bottom w:val="single" w:sz="4" w:color="E8E5DE"/>
              <w:right w:val="nil"/>
            </w:tcBorders>
          </w:tcPr>
          <w:p>
            <w:r>
              <w:rPr>
                <w:rFonts w:ascii="Arial" w:hAnsi="Arial" w:eastAsia="Arial"/>
                <w:b/>
                <w:i w:val="0"/>
                <w:color w:val="B58A2C"/>
                <w:sz w:val="18"/>
              </w:rPr>
              <w:t>Formal documents</w:t>
            </w:r>
          </w:p>
        </w:tc>
        <w:tc>
          <w:tcPr>
            <w:tcW w:type="dxa" w:w="7056"/>
            <w:tcMar>
              <w:top w:w="85" w:type="dxa"/>
              <w:start w:w="95" w:type="dxa"/>
              <w:bottom w:w="85" w:type="dxa"/>
              <w:end w:w="95" w:type="dxa"/>
            </w:tcMar>
            <w:tcBorders>
              <w:top w:val="nil"/>
              <w:left w:val="nil"/>
              <w:bottom w:val="single" w:sz="4" w:color="E8E5DE"/>
              <w:right w:val="nil"/>
            </w:tcBorders>
          </w:tcPr>
          <w:p>
            <w:r>
              <w:rPr>
                <w:rFonts w:ascii="Arial" w:hAnsi="Arial" w:eastAsia="Arial"/>
                <w:b w:val="0"/>
                <w:i w:val="0"/>
                <w:color w:val="111111"/>
                <w:sz w:val="18"/>
              </w:rPr>
              <w:t>Primarily black and white. Use gold only for a restrained divider, section marker or approved premium cover where appropriate.</w:t>
            </w:r>
          </w:p>
        </w:tc>
      </w:tr>
      <w:tr>
        <w:trPr>
          <w:cantSplit/>
        </w:trPr>
        <w:tc>
          <w:tcPr>
            <w:tcW w:type="dxa" w:w="3024"/>
            <w:tcMar>
              <w:top w:w="85" w:type="dxa"/>
              <w:start w:w="95" w:type="dxa"/>
              <w:bottom w:w="85" w:type="dxa"/>
              <w:end w:w="95" w:type="dxa"/>
            </w:tcMar>
            <w:tcBorders>
              <w:top w:val="nil"/>
              <w:left w:val="nil"/>
              <w:bottom w:val="single" w:sz="4" w:color="E8E5DE"/>
              <w:right w:val="nil"/>
            </w:tcBorders>
          </w:tcPr>
          <w:p>
            <w:r>
              <w:rPr>
                <w:rFonts w:ascii="Arial" w:hAnsi="Arial" w:eastAsia="Arial"/>
                <w:b/>
                <w:i w:val="0"/>
                <w:color w:val="B58A2C"/>
                <w:sz w:val="18"/>
              </w:rPr>
              <w:t>Presentations</w:t>
            </w:r>
          </w:p>
        </w:tc>
        <w:tc>
          <w:tcPr>
            <w:tcW w:type="dxa" w:w="7056"/>
            <w:tcMar>
              <w:top w:w="85" w:type="dxa"/>
              <w:start w:w="95" w:type="dxa"/>
              <w:bottom w:w="85" w:type="dxa"/>
              <w:end w:w="95" w:type="dxa"/>
            </w:tcMar>
            <w:tcBorders>
              <w:top w:val="nil"/>
              <w:left w:val="nil"/>
              <w:bottom w:val="single" w:sz="4" w:color="E8E5DE"/>
              <w:right w:val="nil"/>
            </w:tcBorders>
          </w:tcPr>
          <w:p>
            <w:r>
              <w:rPr>
                <w:rFonts w:ascii="Arial" w:hAnsi="Arial" w:eastAsia="Arial"/>
                <w:b w:val="0"/>
                <w:i w:val="0"/>
                <w:color w:val="111111"/>
                <w:sz w:val="18"/>
              </w:rPr>
              <w:t>Near-black background, bright gold headlines and white body text. Core gold may support rules, icons and key figures.</w:t>
            </w:r>
          </w:p>
        </w:tc>
      </w:tr>
      <w:tr>
        <w:trPr>
          <w:cantSplit/>
        </w:trPr>
        <w:tc>
          <w:tcPr>
            <w:tcW w:type="dxa" w:w="3024"/>
            <w:tcMar>
              <w:top w:w="85" w:type="dxa"/>
              <w:start w:w="95" w:type="dxa"/>
              <w:bottom w:w="85" w:type="dxa"/>
              <w:end w:w="95" w:type="dxa"/>
            </w:tcMar>
            <w:tcBorders>
              <w:top w:val="nil"/>
              <w:left w:val="nil"/>
              <w:bottom w:val="single" w:sz="4" w:color="E8E5DE"/>
              <w:right w:val="nil"/>
            </w:tcBorders>
          </w:tcPr>
          <w:p>
            <w:r>
              <w:rPr>
                <w:rFonts w:ascii="Arial" w:hAnsi="Arial" w:eastAsia="Arial"/>
                <w:b/>
                <w:i w:val="0"/>
                <w:color w:val="B58A2C"/>
                <w:sz w:val="18"/>
              </w:rPr>
              <w:t>Premium one-page pieces</w:t>
            </w:r>
          </w:p>
        </w:tc>
        <w:tc>
          <w:tcPr>
            <w:tcW w:type="dxa" w:w="7056"/>
            <w:tcMar>
              <w:top w:w="85" w:type="dxa"/>
              <w:start w:w="95" w:type="dxa"/>
              <w:bottom w:w="85" w:type="dxa"/>
              <w:end w:w="95" w:type="dxa"/>
            </w:tcMar>
            <w:tcBorders>
              <w:top w:val="nil"/>
              <w:left w:val="nil"/>
              <w:bottom w:val="single" w:sz="4" w:color="E8E5DE"/>
              <w:right w:val="nil"/>
            </w:tcBorders>
          </w:tcPr>
          <w:p>
            <w:r>
              <w:rPr>
                <w:rFonts w:ascii="Arial" w:hAnsi="Arial" w:eastAsia="Arial"/>
                <w:b w:val="0"/>
                <w:i w:val="0"/>
                <w:color w:val="111111"/>
                <w:sz w:val="18"/>
              </w:rPr>
              <w:t>An all-black background may be used for selected digital-first or meeting materials, with white copy and sparse gold emphasis.</w:t>
            </w:r>
          </w:p>
        </w:tc>
      </w:tr>
      <w:tr>
        <w:trPr>
          <w:cantSplit/>
        </w:trPr>
        <w:tc>
          <w:tcPr>
            <w:tcW w:type="dxa" w:w="3024"/>
            <w:tcMar>
              <w:top w:w="85" w:type="dxa"/>
              <w:start w:w="95" w:type="dxa"/>
              <w:bottom w:w="85" w:type="dxa"/>
              <w:end w:w="95" w:type="dxa"/>
            </w:tcMar>
            <w:tcBorders>
              <w:top w:val="nil"/>
              <w:left w:val="nil"/>
              <w:bottom w:val="single" w:sz="4" w:color="E8E5DE"/>
              <w:right w:val="nil"/>
            </w:tcBorders>
          </w:tcPr>
          <w:p>
            <w:r>
              <w:rPr>
                <w:rFonts w:ascii="Arial" w:hAnsi="Arial" w:eastAsia="Arial"/>
                <w:b/>
                <w:i w:val="0"/>
                <w:color w:val="B58A2C"/>
                <w:sz w:val="18"/>
              </w:rPr>
              <w:t>Email signatures</w:t>
            </w:r>
          </w:p>
        </w:tc>
        <w:tc>
          <w:tcPr>
            <w:tcW w:type="dxa" w:w="7056"/>
            <w:tcMar>
              <w:top w:w="85" w:type="dxa"/>
              <w:start w:w="95" w:type="dxa"/>
              <w:bottom w:w="85" w:type="dxa"/>
              <w:end w:w="95" w:type="dxa"/>
            </w:tcMar>
            <w:tcBorders>
              <w:top w:val="nil"/>
              <w:left w:val="nil"/>
              <w:bottom w:val="single" w:sz="4" w:color="E8E5DE"/>
              <w:right w:val="nil"/>
            </w:tcBorders>
          </w:tcPr>
          <w:p>
            <w:r>
              <w:rPr>
                <w:rFonts w:ascii="Arial" w:hAnsi="Arial" w:eastAsia="Arial"/>
                <w:b w:val="0"/>
                <w:i w:val="0"/>
                <w:color w:val="111111"/>
                <w:sz w:val="18"/>
              </w:rPr>
              <w:t>Black and white only for consistency, accessibility and rendering reliability.</w:t>
            </w:r>
          </w:p>
        </w:tc>
      </w:tr>
      <w:tr>
        <w:trPr>
          <w:cantSplit/>
        </w:trPr>
        <w:tc>
          <w:tcPr>
            <w:tcW w:type="dxa" w:w="3024"/>
            <w:tcMar>
              <w:top w:w="85" w:type="dxa"/>
              <w:start w:w="95" w:type="dxa"/>
              <w:bottom w:w="85" w:type="dxa"/>
              <w:end w:w="95" w:type="dxa"/>
            </w:tcMar>
            <w:tcBorders>
              <w:top w:val="nil"/>
              <w:left w:val="nil"/>
              <w:bottom w:val="single" w:sz="4" w:color="E8E5DE"/>
              <w:right w:val="nil"/>
            </w:tcBorders>
          </w:tcPr>
          <w:p>
            <w:r>
              <w:rPr>
                <w:rFonts w:ascii="Arial" w:hAnsi="Arial" w:eastAsia="Arial"/>
                <w:b/>
                <w:i w:val="0"/>
                <w:color w:val="B58A2C"/>
                <w:sz w:val="18"/>
              </w:rPr>
              <w:t>Marketing and social</w:t>
            </w:r>
          </w:p>
        </w:tc>
        <w:tc>
          <w:tcPr>
            <w:tcW w:type="dxa" w:w="7056"/>
            <w:tcMar>
              <w:top w:w="85" w:type="dxa"/>
              <w:start w:w="95" w:type="dxa"/>
              <w:bottom w:w="85" w:type="dxa"/>
              <w:end w:w="95" w:type="dxa"/>
            </w:tcMar>
            <w:tcBorders>
              <w:top w:val="nil"/>
              <w:left w:val="nil"/>
              <w:bottom w:val="single" w:sz="4" w:color="E8E5DE"/>
              <w:right w:val="nil"/>
            </w:tcBorders>
          </w:tcPr>
          <w:p>
            <w:r>
              <w:rPr>
                <w:rFonts w:ascii="Arial" w:hAnsi="Arial" w:eastAsia="Arial"/>
                <w:b w:val="0"/>
                <w:i w:val="0"/>
                <w:color w:val="111111"/>
                <w:sz w:val="18"/>
              </w:rPr>
              <w:t>Use gold as an accent, not a full-page default. Photography and content should remain the primary visual focus.</w:t>
            </w:r>
          </w:p>
        </w:tc>
      </w:tr>
    </w:tbl>
    <w:p>
      <w:pPr>
        <w:keepNext/>
        <w:spacing w:before="160" w:after="80" w:line="240" w:lineRule="auto"/>
        <w:widowControl/>
        <w:jc w:val="left"/>
      </w:pPr>
      <w:r>
        <w:rPr>
          <w:rFonts w:ascii="Arial" w:hAnsi="Arial" w:eastAsia="Arial"/>
          <w:b/>
          <w:i w:val="0"/>
          <w:color w:val="111111"/>
          <w:sz w:val="28"/>
        </w:rPr>
        <w:t>Accessibility and contrast</w:t>
      </w:r>
    </w:p>
    <w:p>
      <w:pPr>
        <w:spacing w:before="0" w:after="120" w:line="264" w:lineRule="auto"/>
        <w:widowControl/>
        <w:jc w:val="both"/>
      </w:pPr>
      <w:r>
        <w:rPr>
          <w:rFonts w:ascii="Arial" w:hAnsi="Arial" w:eastAsia="Arial"/>
          <w:b w:val="0"/>
          <w:i w:val="0"/>
          <w:color w:val="111111"/>
          <w:sz w:val="19"/>
        </w:rPr>
        <w:t>Use gold text on dark backgrounds for headings and emphasis. On white backgrounds, use gold primarily as a decorative accent or sufficiently large, bold heading; use black for normal body text. Materials must use readable type sizes, sufficient contrast, useful alt text and must not rely on text embedded only in images.</w:t>
      </w:r>
    </w:p>
    <w:p>
      <w:r>
        <w:br w:type="page"/>
      </w:r>
    </w:p>
    <w:p>
      <w:pPr>
        <w:keepNext/>
        <w:spacing w:before="0" w:after="60" w:line="240" w:lineRule="auto"/>
        <w:widowControl/>
        <w:jc w:val="left"/>
      </w:pPr>
      <w:r>
        <w:rPr>
          <w:rFonts w:ascii="Arial" w:hAnsi="Arial" w:eastAsia="Arial"/>
          <w:b/>
          <w:i w:val="0"/>
          <w:color w:val="B58A2C"/>
          <w:sz w:val="18"/>
        </w:rPr>
        <w:t>07</w:t>
      </w:r>
    </w:p>
    <w:p>
      <w:pPr>
        <w:keepNext/>
        <w:spacing w:before="0" w:after="160" w:line="240" w:lineRule="auto"/>
        <w:widowControl/>
        <w:jc w:val="left"/>
      </w:pPr>
      <w:r>
        <w:rPr>
          <w:rFonts w:ascii="Arial" w:hAnsi="Arial" w:eastAsia="Arial"/>
          <w:b/>
          <w:i w:val="0"/>
          <w:color w:val="111111"/>
          <w:sz w:val="50"/>
        </w:rPr>
        <w:t>Photography, people and credibility</w:t>
      </w:r>
    </w:p>
    <w:p>
      <w:pPr>
        <w:spacing w:before="0" w:after="160" w:line="264" w:lineRule="auto"/>
        <w:widowControl/>
        <w:jc w:val="left"/>
      </w:pPr>
      <w:r>
        <w:rPr>
          <w:rFonts w:ascii="Arial" w:hAnsi="Arial" w:eastAsia="Arial"/>
          <w:b w:val="0"/>
          <w:i w:val="0"/>
          <w:color w:val="666666"/>
          <w:sz w:val="22"/>
        </w:rPr>
        <w:t>The visual system should show the real firm and the real context in which clients make decisions.</w:t>
      </w:r>
    </w:p>
    <w:p>
      <w:pPr>
        <w:keepNext/>
        <w:spacing w:before="160" w:after="80" w:line="240" w:lineRule="auto"/>
        <w:widowControl/>
        <w:jc w:val="left"/>
      </w:pPr>
      <w:r>
        <w:rPr>
          <w:rFonts w:ascii="Arial" w:hAnsi="Arial" w:eastAsia="Arial"/>
          <w:b/>
          <w:i w:val="0"/>
          <w:color w:val="111111"/>
          <w:sz w:val="28"/>
        </w:rPr>
        <w:t>Photography direction</w:t>
      </w:r>
    </w:p>
    <w:p>
      <w:pPr>
        <w:pStyle w:val="ListBullet"/>
        <w:spacing w:before="0" w:after="60" w:line="259" w:lineRule="auto"/>
        <w:widowControl/>
        <w:jc w:val="left"/>
      </w:pPr>
      <w:r>
        <w:rPr>
          <w:rFonts w:ascii="Arial" w:hAnsi="Arial" w:eastAsia="Arial"/>
          <w:b w:val="0"/>
          <w:i w:val="0"/>
          <w:color w:val="111111"/>
          <w:sz w:val="20"/>
        </w:rPr>
        <w:t>Use real Janke LLP people, real Saskatchewan settings and genuine client or community context wherever possible.</w:t>
      </w:r>
    </w:p>
    <w:p>
      <w:pPr>
        <w:pStyle w:val="ListBullet"/>
        <w:spacing w:before="0" w:after="60" w:line="259" w:lineRule="auto"/>
        <w:widowControl/>
        <w:jc w:val="left"/>
      </w:pPr>
      <w:r>
        <w:rPr>
          <w:rFonts w:ascii="Arial" w:hAnsi="Arial" w:eastAsia="Arial"/>
          <w:b w:val="0"/>
          <w:i w:val="0"/>
          <w:color w:val="111111"/>
          <w:sz w:val="20"/>
        </w:rPr>
        <w:t>Aim for polished but natural images rather than staged corporate poses.</w:t>
      </w:r>
    </w:p>
    <w:p>
      <w:pPr>
        <w:pStyle w:val="ListBullet"/>
        <w:spacing w:before="0" w:after="60" w:line="259" w:lineRule="auto"/>
        <w:widowControl/>
        <w:jc w:val="left"/>
      </w:pPr>
      <w:r>
        <w:rPr>
          <w:rFonts w:ascii="Arial" w:hAnsi="Arial" w:eastAsia="Arial"/>
          <w:b w:val="0"/>
          <w:i w:val="0"/>
          <w:color w:val="111111"/>
          <w:sz w:val="20"/>
        </w:rPr>
        <w:t>Prioritize team portraits, working images, Tisdale and Saskatchewan environments, and relevant business, agriculture, professional and community settings.</w:t>
      </w:r>
    </w:p>
    <w:p>
      <w:pPr>
        <w:pStyle w:val="ListBullet"/>
        <w:spacing w:before="0" w:after="60" w:line="259" w:lineRule="auto"/>
        <w:widowControl/>
        <w:jc w:val="left"/>
      </w:pPr>
      <w:r>
        <w:rPr>
          <w:rFonts w:ascii="Arial" w:hAnsi="Arial" w:eastAsia="Arial"/>
          <w:b w:val="0"/>
          <w:i w:val="0"/>
          <w:color w:val="111111"/>
          <w:sz w:val="20"/>
        </w:rPr>
        <w:t>Use natural light and authentic interaction. Minimize generic stock photography.</w:t>
      </w:r>
    </w:p>
    <w:p>
      <w:pPr>
        <w:pStyle w:val="ListBullet"/>
        <w:spacing w:before="0" w:after="60" w:line="259" w:lineRule="auto"/>
        <w:widowControl/>
        <w:jc w:val="left"/>
      </w:pPr>
      <w:r>
        <w:rPr>
          <w:rFonts w:ascii="Arial" w:hAnsi="Arial" w:eastAsia="Arial"/>
          <w:b w:val="0"/>
          <w:i w:val="0"/>
          <w:color w:val="111111"/>
          <w:sz w:val="20"/>
        </w:rPr>
        <w:t>Refresh core photography every two to three years, with smaller additions as needed.</w:t>
      </w:r>
    </w:p>
    <w:p>
      <w:pPr>
        <w:keepNext/>
        <w:spacing w:before="160" w:after="80" w:line="240" w:lineRule="auto"/>
        <w:widowControl/>
        <w:jc w:val="left"/>
      </w:pPr>
      <w:r>
        <w:rPr>
          <w:rFonts w:ascii="Arial" w:hAnsi="Arial" w:eastAsia="Arial"/>
          <w:b/>
          <w:i w:val="0"/>
          <w:color w:val="111111"/>
          <w:sz w:val="28"/>
        </w:rPr>
        <w:t>Team visibility</w:t>
      </w:r>
    </w:p>
    <w:p>
      <w:pPr>
        <w:spacing w:before="0" w:after="120" w:line="264" w:lineRule="auto"/>
        <w:widowControl/>
        <w:jc w:val="both"/>
      </w:pPr>
      <w:r>
        <w:rPr>
          <w:rFonts w:ascii="Arial" w:hAnsi="Arial" w:eastAsia="Arial"/>
          <w:b w:val="0"/>
          <w:i w:val="0"/>
          <w:color w:val="111111"/>
          <w:sz w:val="21"/>
        </w:rPr>
        <w:t>The brand is firm-first, supported by visible individual experts. Janke LLP remains the principal identity while selected team members are featured by name, designation and area of expertise.</w:t>
      </w:r>
    </w:p>
    <w:p>
      <w:pPr>
        <w:keepNext/>
        <w:spacing w:before="160" w:after="80" w:line="240" w:lineRule="auto"/>
        <w:widowControl/>
        <w:jc w:val="left"/>
      </w:pPr>
      <w:r>
        <w:rPr>
          <w:rFonts w:ascii="Arial" w:hAnsi="Arial" w:eastAsia="Arial"/>
          <w:b/>
          <w:i w:val="0"/>
          <w:color w:val="111111"/>
          <w:sz w:val="28"/>
        </w:rPr>
        <w:t>Staff biographies</w:t>
      </w:r>
    </w:p>
    <w:p>
      <w:pPr>
        <w:spacing w:before="0" w:after="120" w:line="264" w:lineRule="auto"/>
        <w:widowControl/>
        <w:jc w:val="both"/>
      </w:pPr>
      <w:r>
        <w:rPr>
          <w:rFonts w:ascii="Arial" w:hAnsi="Arial" w:eastAsia="Arial"/>
          <w:b w:val="0"/>
          <w:i w:val="0"/>
          <w:color w:val="111111"/>
          <w:sz w:val="21"/>
        </w:rPr>
        <w:t>Biographies should use a consistent tone, credential format, areas of expertise and selective community involvement. Headshots should follow a consistent photographic style. Approved biography lengths are short (25-40 words), standard (75-125 words) and extended (175-250 words).</w:t>
      </w:r>
    </w:p>
    <w:p>
      <w:pPr>
        <w:keepNext/>
        <w:spacing w:before="160" w:after="80" w:line="240" w:lineRule="auto"/>
        <w:widowControl/>
        <w:jc w:val="left"/>
      </w:pPr>
      <w:r>
        <w:rPr>
          <w:rFonts w:ascii="Arial" w:hAnsi="Arial" w:eastAsia="Arial"/>
          <w:b/>
          <w:i w:val="0"/>
          <w:color w:val="111111"/>
          <w:sz w:val="28"/>
        </w:rPr>
        <w:t>Consent and client stories</w:t>
      </w:r>
    </w:p>
    <w:p>
      <w:pPr>
        <w:spacing w:before="0" w:after="120" w:line="264" w:lineRule="auto"/>
        <w:widowControl/>
        <w:jc w:val="both"/>
      </w:pPr>
      <w:r>
        <w:rPr>
          <w:rFonts w:ascii="Arial" w:hAnsi="Arial" w:eastAsia="Arial"/>
          <w:b w:val="0"/>
          <w:i w:val="0"/>
          <w:color w:val="111111"/>
          <w:sz w:val="21"/>
        </w:rPr>
        <w:t>Any identifiable client photography, testimonial or case-study content requires written, project-specific consent before use. The client must approve final quotations and factual presentation before publication.</w:t>
      </w:r>
    </w:p>
    <w:p>
      <w:r>
        <w:br w:type="page"/>
      </w:r>
    </w:p>
    <w:p>
      <w:pPr>
        <w:keepNext/>
        <w:spacing w:before="0" w:after="60" w:line="240" w:lineRule="auto"/>
        <w:widowControl/>
        <w:jc w:val="left"/>
      </w:pPr>
      <w:r>
        <w:rPr>
          <w:rFonts w:ascii="Arial" w:hAnsi="Arial" w:eastAsia="Arial"/>
          <w:b/>
          <w:i w:val="0"/>
          <w:color w:val="B58A2C"/>
          <w:sz w:val="18"/>
        </w:rPr>
        <w:t>08</w:t>
      </w:r>
    </w:p>
    <w:p>
      <w:pPr>
        <w:keepNext/>
        <w:spacing w:before="0" w:after="160" w:line="240" w:lineRule="auto"/>
        <w:widowControl/>
        <w:jc w:val="left"/>
      </w:pPr>
      <w:r>
        <w:rPr>
          <w:rFonts w:ascii="Arial" w:hAnsi="Arial" w:eastAsia="Arial"/>
          <w:b/>
          <w:i w:val="0"/>
          <w:color w:val="111111"/>
          <w:sz w:val="50"/>
        </w:rPr>
        <w:t>Website, recruitment and client journey</w:t>
      </w:r>
    </w:p>
    <w:p>
      <w:pPr>
        <w:spacing w:before="0" w:after="160" w:line="264" w:lineRule="auto"/>
        <w:widowControl/>
        <w:jc w:val="left"/>
      </w:pPr>
      <w:r>
        <w:rPr>
          <w:rFonts w:ascii="Arial" w:hAnsi="Arial" w:eastAsia="Arial"/>
          <w:b w:val="0"/>
          <w:i w:val="0"/>
          <w:color w:val="666666"/>
          <w:sz w:val="22"/>
        </w:rPr>
        <w:t>Digital and recruitment communications should make the firm easier to understand, easier to approach and more credible before the first conversation.</w:t>
      </w:r>
    </w:p>
    <w:p>
      <w:pPr>
        <w:keepNext/>
        <w:spacing w:before="160" w:after="80" w:line="240" w:lineRule="auto"/>
        <w:widowControl/>
        <w:jc w:val="left"/>
      </w:pPr>
      <w:r>
        <w:rPr>
          <w:rFonts w:ascii="Arial" w:hAnsi="Arial" w:eastAsia="Arial"/>
          <w:b/>
          <w:i w:val="0"/>
          <w:color w:val="111111"/>
          <w:sz w:val="28"/>
        </w:rPr>
        <w:t>Website information architecture</w:t>
      </w:r>
    </w:p>
    <w:p>
      <w:pPr>
        <w:spacing w:before="0" w:after="120" w:line="264" w:lineRule="auto"/>
        <w:widowControl/>
        <w:jc w:val="both"/>
      </w:pPr>
      <w:r>
        <w:rPr>
          <w:rFonts w:ascii="Arial" w:hAnsi="Arial" w:eastAsia="Arial"/>
          <w:b w:val="0"/>
          <w:i w:val="0"/>
          <w:color w:val="111111"/>
          <w:sz w:val="21"/>
        </w:rPr>
        <w:t>Lead with client needs, supported by industry-specific pages. Main navigation should help visitors recognize the decision or opportunity they face, while industry pages demonstrate sector understanding.</w:t>
      </w:r>
    </w:p>
    <w:tbl>
      <w:tblPr>
        <w:tblW w:type="auto" w:w="0"/>
        <w:jc w:val="center"/>
        <w:tblLayout w:type="fixed"/>
        <w:tblLook w:firstColumn="1" w:firstRow="1" w:lastColumn="0" w:lastRow="0" w:noHBand="0" w:noVBand="1" w:val="04A0"/>
      </w:tblPr>
      <w:tblGrid>
        <w:gridCol w:w="5112"/>
        <w:gridCol w:w="5112"/>
      </w:tblGrid>
      <w:tr>
        <w:trPr>
          <w:cantSplit/>
        </w:trPr>
        <w:tc>
          <w:tcPr>
            <w:tcW w:type="dxa" w:w="5040"/>
            <w:tcMar>
              <w:top w:w="120" w:type="dxa"/>
              <w:start w:w="140" w:type="dxa"/>
              <w:bottom w:w="120" w:type="dxa"/>
              <w:end w:w="140" w:type="dxa"/>
            </w:tcMar>
            <w:tcBorders>
              <w:top w:val="nil"/>
              <w:left w:val="nil"/>
              <w:bottom w:val="nil"/>
              <w:right w:val="nil"/>
            </w:tcBorders>
            <w:shd w:fill="F7F5F0"/>
            <w:vAlign w:val="top"/>
          </w:tcPr>
          <w:p>
            <w:pPr>
              <w:spacing w:before="0" w:after="120" w:line="240" w:lineRule="auto"/>
            </w:pPr>
            <w:r>
              <w:rPr>
                <w:rFonts w:ascii="Arial" w:hAnsi="Arial" w:eastAsia="Arial"/>
                <w:b/>
                <w:i w:val="0"/>
                <w:color w:val="B58A2C"/>
                <w:sz w:val="26"/>
              </w:rPr>
              <w:t>Website and intake</w:t>
            </w:r>
          </w:p>
          <w:p>
            <w:pPr>
              <w:pStyle w:val="ListBullet"/>
              <w:spacing w:before="0" w:after="60" w:line="259" w:lineRule="auto"/>
            </w:pPr>
            <w:r>
              <w:rPr>
                <w:rFonts w:ascii="Arial" w:hAnsi="Arial" w:eastAsia="Arial"/>
                <w:b w:val="0"/>
                <w:i w:val="0"/>
                <w:color w:val="111111"/>
                <w:sz w:val="19"/>
              </w:rPr>
              <w:t>Primary prompt: What does better look like?</w:t>
            </w:r>
          </w:p>
          <w:p>
            <w:pPr>
              <w:pStyle w:val="ListBullet"/>
              <w:spacing w:before="0" w:after="60" w:line="259" w:lineRule="auto"/>
            </w:pPr>
            <w:r>
              <w:rPr>
                <w:rFonts w:ascii="Arial" w:hAnsi="Arial" w:eastAsia="Arial"/>
                <w:b w:val="0"/>
                <w:i w:val="0"/>
                <w:color w:val="111111"/>
                <w:sz w:val="19"/>
              </w:rPr>
              <w:t>Primary button: Start the conversation</w:t>
            </w:r>
          </w:p>
          <w:p>
            <w:pPr>
              <w:pStyle w:val="ListBullet"/>
              <w:spacing w:before="0" w:after="60" w:line="259" w:lineRule="auto"/>
            </w:pPr>
            <w:r>
              <w:rPr>
                <w:rFonts w:ascii="Arial" w:hAnsi="Arial" w:eastAsia="Arial"/>
                <w:b w:val="0"/>
                <w:i w:val="0"/>
                <w:color w:val="111111"/>
                <w:sz w:val="19"/>
              </w:rPr>
              <w:t>Use a guided, qualified intake rather than unrestricted calendar booking</w:t>
            </w:r>
          </w:p>
          <w:p>
            <w:pPr>
              <w:pStyle w:val="ListBullet"/>
              <w:spacing w:before="0" w:after="60" w:line="259" w:lineRule="auto"/>
            </w:pPr>
            <w:r>
              <w:rPr>
                <w:rFonts w:ascii="Arial" w:hAnsi="Arial" w:eastAsia="Arial"/>
                <w:b w:val="0"/>
                <w:i w:val="0"/>
                <w:color w:val="111111"/>
                <w:sz w:val="19"/>
              </w:rPr>
              <w:t>Explain what the prospective client is working toward and route the conversation appropriately</w:t>
            </w:r>
          </w:p>
        </w:tc>
        <w:tc>
          <w:tcPr>
            <w:tcW w:type="dxa" w:w="5040"/>
            <w:tcMar>
              <w:top w:w="120" w:type="dxa"/>
              <w:start w:w="140" w:type="dxa"/>
              <w:bottom w:w="120" w:type="dxa"/>
              <w:end w:w="140" w:type="dxa"/>
            </w:tcMar>
            <w:tcBorders>
              <w:top w:val="nil"/>
              <w:left w:val="nil"/>
              <w:bottom w:val="nil"/>
              <w:right w:val="nil"/>
            </w:tcBorders>
            <w:shd w:fill="FFFFFF"/>
            <w:vAlign w:val="top"/>
          </w:tcPr>
          <w:p>
            <w:pPr>
              <w:spacing w:before="0" w:after="120" w:line="240" w:lineRule="auto"/>
            </w:pPr>
            <w:r>
              <w:rPr>
                <w:rFonts w:ascii="Arial" w:hAnsi="Arial" w:eastAsia="Arial"/>
                <w:b/>
                <w:i w:val="0"/>
                <w:color w:val="B58A2C"/>
                <w:sz w:val="26"/>
              </w:rPr>
              <w:t>Recruitment promise</w:t>
            </w:r>
          </w:p>
          <w:p>
            <w:pPr>
              <w:pStyle w:val="ListBullet"/>
              <w:spacing w:before="0" w:after="60" w:line="259" w:lineRule="auto"/>
            </w:pPr>
            <w:r>
              <w:rPr>
                <w:rFonts w:ascii="Arial" w:hAnsi="Arial" w:eastAsia="Arial"/>
                <w:b w:val="0"/>
                <w:i w:val="0"/>
                <w:color w:val="111111"/>
                <w:sz w:val="19"/>
              </w:rPr>
              <w:t>Sophisticated work using best-in-class tools and systems</w:t>
            </w:r>
          </w:p>
          <w:p>
            <w:pPr>
              <w:pStyle w:val="ListBullet"/>
              <w:spacing w:before="0" w:after="60" w:line="259" w:lineRule="auto"/>
            </w:pPr>
            <w:r>
              <w:rPr>
                <w:rFonts w:ascii="Arial" w:hAnsi="Arial" w:eastAsia="Arial"/>
                <w:b w:val="0"/>
                <w:i w:val="0"/>
                <w:color w:val="111111"/>
                <w:sz w:val="19"/>
              </w:rPr>
              <w:t>Visible impact on clients and the community</w:t>
            </w:r>
          </w:p>
          <w:p>
            <w:pPr>
              <w:pStyle w:val="ListBullet"/>
              <w:spacing w:before="0" w:after="60" w:line="259" w:lineRule="auto"/>
            </w:pPr>
            <w:r>
              <w:rPr>
                <w:rFonts w:ascii="Arial" w:hAnsi="Arial" w:eastAsia="Arial"/>
                <w:b w:val="0"/>
                <w:i w:val="0"/>
                <w:color w:val="111111"/>
                <w:sz w:val="19"/>
              </w:rPr>
              <w:t>A very high-quality work-life environment</w:t>
            </w:r>
          </w:p>
          <w:p>
            <w:pPr>
              <w:pStyle w:val="ListBullet"/>
              <w:spacing w:before="0" w:after="60" w:line="259" w:lineRule="auto"/>
            </w:pPr>
            <w:r>
              <w:rPr>
                <w:rFonts w:ascii="Arial" w:hAnsi="Arial" w:eastAsia="Arial"/>
                <w:b w:val="0"/>
                <w:i w:val="0"/>
                <w:color w:val="111111"/>
                <w:sz w:val="19"/>
              </w:rPr>
              <w:t>Do not overstate flexibility, advancement or workplace conditions</w:t>
            </w:r>
          </w:p>
        </w:tc>
      </w:tr>
    </w:tbl>
    <w:p>
      <w:pPr>
        <w:keepNext/>
        <w:spacing w:before="160" w:after="80" w:line="240" w:lineRule="auto"/>
        <w:widowControl/>
        <w:jc w:val="left"/>
      </w:pPr>
      <w:r>
        <w:rPr>
          <w:rFonts w:ascii="Arial" w:hAnsi="Arial" w:eastAsia="Arial"/>
          <w:b/>
          <w:i w:val="0"/>
          <w:color w:val="111111"/>
          <w:sz w:val="28"/>
        </w:rPr>
        <w:t>Prospective-client handout</w:t>
      </w:r>
    </w:p>
    <w:p>
      <w:pPr>
        <w:spacing w:before="0" w:after="120" w:line="264" w:lineRule="auto"/>
        <w:widowControl/>
        <w:jc w:val="both"/>
      </w:pPr>
      <w:r>
        <w:rPr>
          <w:rFonts w:ascii="Arial" w:hAnsi="Arial" w:eastAsia="Arial"/>
          <w:b w:val="0"/>
          <w:i w:val="0"/>
          <w:color w:val="111111"/>
          <w:sz w:val="21"/>
        </w:rPr>
        <w:t>The approved “Working with Janke LLP” dark-edition handout may be provided after a prospective-client meeting is booked. It should set expectations for the conversation, explain the firm’s approach and make preparation easier without becoming a sales brochure.</w:t>
      </w:r>
    </w:p>
    <w:p>
      <w:r>
        <w:br w:type="page"/>
      </w:r>
    </w:p>
    <w:p>
      <w:pPr>
        <w:keepNext/>
        <w:spacing w:before="0" w:after="60" w:line="240" w:lineRule="auto"/>
        <w:widowControl/>
        <w:jc w:val="left"/>
      </w:pPr>
      <w:r>
        <w:rPr>
          <w:rFonts w:ascii="Arial" w:hAnsi="Arial" w:eastAsia="Arial"/>
          <w:b/>
          <w:i w:val="0"/>
          <w:color w:val="B58A2C"/>
          <w:sz w:val="18"/>
        </w:rPr>
        <w:t>09</w:t>
      </w:r>
    </w:p>
    <w:p>
      <w:pPr>
        <w:keepNext/>
        <w:spacing w:before="0" w:after="160" w:line="240" w:lineRule="auto"/>
        <w:widowControl/>
        <w:jc w:val="left"/>
      </w:pPr>
      <w:r>
        <w:rPr>
          <w:rFonts w:ascii="Arial" w:hAnsi="Arial" w:eastAsia="Arial"/>
          <w:b/>
          <w:i w:val="0"/>
          <w:color w:val="111111"/>
          <w:sz w:val="50"/>
        </w:rPr>
        <w:t>Document and template system</w:t>
      </w:r>
    </w:p>
    <w:p>
      <w:pPr>
        <w:spacing w:before="0" w:after="160" w:line="264" w:lineRule="auto"/>
        <w:widowControl/>
        <w:jc w:val="left"/>
      </w:pPr>
      <w:r>
        <w:rPr>
          <w:rFonts w:ascii="Arial" w:hAnsi="Arial" w:eastAsia="Arial"/>
          <w:b w:val="0"/>
          <w:i w:val="0"/>
          <w:color w:val="666666"/>
          <w:sz w:val="22"/>
        </w:rPr>
        <w:t>Approved templates create consistency, reduce rework and let the advice - rather than the formatting - carry the message.</w:t>
      </w:r>
    </w:p>
    <w:p>
      <w:pPr>
        <w:keepNext/>
        <w:spacing w:before="160" w:after="80" w:line="240" w:lineRule="auto"/>
        <w:widowControl/>
        <w:jc w:val="left"/>
      </w:pPr>
      <w:r>
        <w:rPr>
          <w:rFonts w:ascii="Arial" w:hAnsi="Arial" w:eastAsia="Arial"/>
          <w:b/>
          <w:i w:val="0"/>
          <w:color w:val="111111"/>
          <w:sz w:val="28"/>
        </w:rPr>
        <w:t>Document hierarchy</w:t>
      </w:r>
    </w:p>
    <w:p>
      <w:pPr>
        <w:spacing w:before="0" w:after="120" w:line="264" w:lineRule="auto"/>
        <w:widowControl/>
        <w:jc w:val="both"/>
      </w:pPr>
      <w:r>
        <w:rPr>
          <w:rFonts w:ascii="Arial" w:hAnsi="Arial" w:eastAsia="Arial"/>
          <w:b w:val="0"/>
          <w:i w:val="0"/>
          <w:color w:val="111111"/>
          <w:sz w:val="21"/>
        </w:rPr>
        <w:t>Templates establish consistent standards for title pages, headings, subheadings, body text, callouts, charts, tables, footers, contact details, logo use and supporting brand language. Formal and operational documents use Arial; marketing and presentation headings use Gilroy where available.</w:t>
      </w:r>
    </w:p>
    <w:p>
      <w:pPr>
        <w:keepNext/>
        <w:spacing w:before="160" w:after="80" w:line="240" w:lineRule="auto"/>
        <w:widowControl/>
        <w:jc w:val="left"/>
      </w:pPr>
      <w:r>
        <w:rPr>
          <w:rFonts w:ascii="Arial" w:hAnsi="Arial" w:eastAsia="Arial"/>
          <w:b/>
          <w:i w:val="0"/>
          <w:color w:val="111111"/>
          <w:sz w:val="28"/>
        </w:rPr>
        <w:t>Approved template families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592"/>
            <w:shd w:fill="111111"/>
            <w:tcMar>
              <w:top w:w="70" w:type="dxa"/>
              <w:start w:w="90" w:type="dxa"/>
              <w:bottom w:w="70" w:type="dxa"/>
              <w:end w:w="90" w:type="dxa"/>
            </w:tcMar>
          </w:tcPr>
          <w:p>
            <w:r>
              <w:rPr>
                <w:rFonts w:ascii="Arial" w:hAnsi="Arial" w:eastAsia="Arial"/>
                <w:b/>
                <w:i w:val="0"/>
                <w:color w:val="FFFFFF"/>
                <w:sz w:val="17"/>
              </w:rPr>
              <w:t>Template family</w:t>
            </w:r>
          </w:p>
        </w:tc>
        <w:tc>
          <w:tcPr>
            <w:tcW w:type="dxa" w:w="7488"/>
            <w:shd w:fill="111111"/>
            <w:tcMar>
              <w:top w:w="70" w:type="dxa"/>
              <w:start w:w="90" w:type="dxa"/>
              <w:bottom w:w="70" w:type="dxa"/>
              <w:end w:w="90" w:type="dxa"/>
            </w:tcMar>
          </w:tcPr>
          <w:p>
            <w:r>
              <w:rPr>
                <w:rFonts w:ascii="Arial" w:hAnsi="Arial" w:eastAsia="Arial"/>
                <w:b/>
                <w:i w:val="0"/>
                <w:color w:val="FFFFFF"/>
                <w:sz w:val="17"/>
              </w:rPr>
              <w:t>Approved use</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Letter</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Formal correspondence and client instructions</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Memo</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Technical analysis, transactions and implementation guidance</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Proposal</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Full proposal and proposal-at-a-glance summary</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Client handout</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One-page educational, decision and meeting materials</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Recruitment</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Role posting and channel adaptations</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Advisory report</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Word and Excel formats with at-a-glance summary and roadmap</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Social media</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Planning, caption, visual, accessibility and approval workflow</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Client story</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Testimonial and full case-study formats</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PowerPoint</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Dark black background, gold headlines and white body text</w:t>
            </w:r>
          </w:p>
        </w:tc>
      </w:tr>
      <w:tr>
        <w:trPr>
          <w:cantSplit/>
        </w:trPr>
        <w:tc>
          <w:tcPr>
            <w:tcW w:type="dxa" w:w="2592"/>
            <w:tcMar>
              <w:top w:w="65" w:type="dxa"/>
              <w:start w:w="90" w:type="dxa"/>
              <w:bottom w:w="65" w:type="dxa"/>
              <w:end w:w="90" w:type="dxa"/>
            </w:tcMar>
            <w:tcBorders>
              <w:top w:val="nil"/>
              <w:left w:val="nil"/>
              <w:bottom w:val="single" w:sz="4" w:color="E8E5DE"/>
              <w:right w:val="nil"/>
            </w:tcBorders>
          </w:tcPr>
          <w:p>
            <w:r>
              <w:rPr>
                <w:rFonts w:ascii="Arial" w:hAnsi="Arial" w:eastAsia="Arial"/>
                <w:b/>
                <w:i w:val="0"/>
                <w:color w:val="B58A2C"/>
                <w:sz w:val="17"/>
              </w:rPr>
              <w:t>Email</w:t>
            </w:r>
          </w:p>
        </w:tc>
        <w:tc>
          <w:tcPr>
            <w:tcW w:type="dxa" w:w="7488"/>
            <w:tcMar>
              <w:top w:w="65" w:type="dxa"/>
              <w:start w:w="90" w:type="dxa"/>
              <w:bottom w:w="65" w:type="dxa"/>
              <w:end w:w="90" w:type="dxa"/>
            </w:tcMar>
            <w:tcBorders>
              <w:top w:val="nil"/>
              <w:left w:val="nil"/>
              <w:bottom w:val="single" w:sz="4" w:color="E8E5DE"/>
              <w:right w:val="nil"/>
            </w:tcBorders>
          </w:tcPr>
          <w:p>
            <w:r>
              <w:rPr>
                <w:rFonts w:ascii="Arial" w:hAnsi="Arial" w:eastAsia="Arial"/>
                <w:b w:val="0"/>
                <w:i w:val="0"/>
                <w:color w:val="111111"/>
                <w:sz w:val="17"/>
              </w:rPr>
              <w:t>Black-and-white signature and formatting system</w:t>
            </w:r>
          </w:p>
        </w:tc>
      </w:tr>
    </w:tbl>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TEMPLATE RULE</w:t>
            </w:r>
          </w:p>
          <w:p>
            <w:pPr>
              <w:spacing w:before="0" w:after="0" w:line="276" w:lineRule="auto"/>
            </w:pPr>
            <w:r>
              <w:rPr>
                <w:rFonts w:ascii="Arial" w:hAnsi="Arial" w:eastAsia="Arial"/>
                <w:b w:val="0"/>
                <w:i w:val="0"/>
                <w:color w:val="FFFFFF"/>
                <w:sz w:val="20"/>
              </w:rPr>
              <w:t>Use the current approved file. Do not copy an old client document as a starting point, recreate a layout from memory or introduce a new colour or font treatment without approval.</w:t>
            </w:r>
          </w:p>
        </w:tc>
      </w:tr>
    </w:tbl>
    <w:p>
      <w:pPr>
        <w:spacing w:after="0"/>
      </w:pPr>
    </w:p>
    <w:p>
      <w:r>
        <w:br w:type="page"/>
      </w:r>
    </w:p>
    <w:p>
      <w:pPr>
        <w:keepNext/>
        <w:spacing w:before="0" w:after="60" w:line="240" w:lineRule="auto"/>
        <w:widowControl/>
        <w:jc w:val="left"/>
      </w:pPr>
      <w:r>
        <w:rPr>
          <w:rFonts w:ascii="Arial" w:hAnsi="Arial" w:eastAsia="Arial"/>
          <w:b/>
          <w:i w:val="0"/>
          <w:color w:val="B58A2C"/>
          <w:sz w:val="18"/>
        </w:rPr>
        <w:t>10</w:t>
      </w:r>
    </w:p>
    <w:p>
      <w:pPr>
        <w:keepNext/>
        <w:spacing w:before="0" w:after="160" w:line="240" w:lineRule="auto"/>
        <w:widowControl/>
        <w:jc w:val="left"/>
      </w:pPr>
      <w:r>
        <w:rPr>
          <w:rFonts w:ascii="Arial" w:hAnsi="Arial" w:eastAsia="Arial"/>
          <w:b/>
          <w:i w:val="0"/>
          <w:color w:val="111111"/>
          <w:sz w:val="50"/>
        </w:rPr>
        <w:t>Content governance and approvals</w:t>
      </w:r>
    </w:p>
    <w:p>
      <w:pPr>
        <w:spacing w:before="0" w:after="160" w:line="264" w:lineRule="auto"/>
        <w:widowControl/>
        <w:jc w:val="left"/>
      </w:pPr>
      <w:r>
        <w:rPr>
          <w:rFonts w:ascii="Arial" w:hAnsi="Arial" w:eastAsia="Arial"/>
          <w:b w:val="0"/>
          <w:i w:val="0"/>
          <w:color w:val="666666"/>
          <w:sz w:val="22"/>
        </w:rPr>
        <w:t>The guide enables routine work while preserving appropriate review for technical, sensitive and high-impact communications.</w:t>
      </w:r>
    </w:p>
    <w:p>
      <w:pPr>
        <w:keepNext/>
        <w:spacing w:before="160" w:after="80" w:line="240" w:lineRule="auto"/>
        <w:widowControl/>
        <w:jc w:val="left"/>
      </w:pPr>
      <w:r>
        <w:rPr>
          <w:rFonts w:ascii="Arial" w:hAnsi="Arial" w:eastAsia="Arial"/>
          <w:b/>
          <w:i w:val="0"/>
          <w:color w:val="111111"/>
          <w:sz w:val="28"/>
        </w:rPr>
        <w:t>Approval model</w:t>
      </w:r>
    </w:p>
    <w:tbl>
      <w:tblPr>
        <w:tblW w:type="auto" w:w="0"/>
        <w:jc w:val="center"/>
        <w:tblLayout w:type="fixed"/>
        <w:tblLook w:firstColumn="1" w:firstRow="1" w:lastColumn="0" w:lastRow="0" w:noHBand="0" w:noVBand="1" w:val="04A0"/>
      </w:tblPr>
      <w:tblGrid>
        <w:gridCol w:w="5112"/>
        <w:gridCol w:w="5112"/>
      </w:tblGrid>
      <w:tr>
        <w:trPr>
          <w:cantSplit/>
        </w:trPr>
        <w:tc>
          <w:tcPr>
            <w:tcW w:type="dxa" w:w="6696"/>
            <w:shd w:fill="111111"/>
            <w:tcMar>
              <w:top w:w="75" w:type="dxa"/>
              <w:start w:w="90" w:type="dxa"/>
              <w:bottom w:w="75" w:type="dxa"/>
              <w:end w:w="90" w:type="dxa"/>
            </w:tcMar>
          </w:tcPr>
          <w:p>
            <w:r>
              <w:rPr>
                <w:rFonts w:ascii="Arial" w:hAnsi="Arial" w:eastAsia="Arial"/>
                <w:b/>
                <w:i w:val="0"/>
                <w:color w:val="FFFFFF"/>
                <w:sz w:val="17"/>
              </w:rPr>
              <w:t>Area</w:t>
            </w:r>
          </w:p>
        </w:tc>
        <w:tc>
          <w:tcPr>
            <w:tcW w:type="dxa" w:w="3384"/>
            <w:shd w:fill="111111"/>
            <w:tcMar>
              <w:top w:w="75" w:type="dxa"/>
              <w:start w:w="90" w:type="dxa"/>
              <w:bottom w:w="75" w:type="dxa"/>
              <w:end w:w="90" w:type="dxa"/>
            </w:tcMar>
          </w:tcPr>
          <w:p>
            <w:r>
              <w:rPr>
                <w:rFonts w:ascii="Arial" w:hAnsi="Arial" w:eastAsia="Arial"/>
                <w:b/>
                <w:i w:val="0"/>
                <w:color w:val="FFFFFF"/>
                <w:sz w:val="17"/>
              </w:rPr>
              <w:t>Required authority</w:t>
            </w:r>
          </w:p>
        </w:tc>
      </w:tr>
      <w:tr>
        <w:trPr>
          <w:cantSplit/>
        </w:trPr>
        <w:tc>
          <w:tcPr>
            <w:tcW w:type="dxa" w:w="669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Foundational strategy, sensitive positions and major campaigns</w:t>
            </w:r>
          </w:p>
        </w:tc>
        <w:tc>
          <w:tcPr>
            <w:tcW w:type="dxa" w:w="3384"/>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Managing partner approval</w:t>
            </w:r>
          </w:p>
        </w:tc>
      </w:tr>
      <w:tr>
        <w:trPr>
          <w:cantSplit/>
        </w:trPr>
        <w:tc>
          <w:tcPr>
            <w:tcW w:type="dxa" w:w="669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Routine content and application of the guide</w:t>
            </w:r>
          </w:p>
        </w:tc>
        <w:tc>
          <w:tcPr>
            <w:tcW w:type="dxa" w:w="3384"/>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Designated marketing lead</w:t>
            </w:r>
          </w:p>
        </w:tc>
      </w:tr>
      <w:tr>
        <w:trPr>
          <w:cantSplit/>
        </w:trPr>
        <w:tc>
          <w:tcPr>
            <w:tcW w:type="dxa" w:w="669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Technical accounting, tax, assurance or legal-adjacent content</w:t>
            </w:r>
          </w:p>
        </w:tc>
        <w:tc>
          <w:tcPr>
            <w:tcW w:type="dxa" w:w="3384"/>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Appropriate subject-matter expert</w:t>
            </w:r>
          </w:p>
        </w:tc>
      </w:tr>
      <w:tr>
        <w:trPr>
          <w:cantSplit/>
        </w:trPr>
        <w:tc>
          <w:tcPr>
            <w:tcW w:type="dxa" w:w="669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New layouts, campaigns or branded assets</w:t>
            </w:r>
          </w:p>
        </w:tc>
        <w:tc>
          <w:tcPr>
            <w:tcW w:type="dxa" w:w="3384"/>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Marketing lead; escalate where material</w:t>
            </w:r>
          </w:p>
        </w:tc>
      </w:tr>
      <w:tr>
        <w:trPr>
          <w:cantSplit/>
        </w:trPr>
        <w:tc>
          <w:tcPr>
            <w:tcW w:type="dxa" w:w="6696"/>
            <w:tcMar>
              <w:top w:w="75" w:type="dxa"/>
              <w:start w:w="90" w:type="dxa"/>
              <w:bottom w:w="75" w:type="dxa"/>
              <w:end w:w="90" w:type="dxa"/>
            </w:tcMar>
            <w:tcBorders>
              <w:top w:val="nil"/>
              <w:left w:val="nil"/>
              <w:bottom w:val="single" w:sz="4" w:color="E8E5DE"/>
              <w:right w:val="nil"/>
            </w:tcBorders>
          </w:tcPr>
          <w:p>
            <w:r>
              <w:rPr>
                <w:rFonts w:ascii="Arial" w:hAnsi="Arial" w:eastAsia="Arial"/>
                <w:b w:val="0"/>
                <w:i w:val="0"/>
                <w:color w:val="111111"/>
                <w:sz w:val="18"/>
              </w:rPr>
              <w:t>Team-created materials</w:t>
            </w:r>
          </w:p>
        </w:tc>
        <w:tc>
          <w:tcPr>
            <w:tcW w:type="dxa" w:w="3384"/>
            <w:tcMar>
              <w:top w:w="75" w:type="dxa"/>
              <w:start w:w="90" w:type="dxa"/>
              <w:bottom w:w="75" w:type="dxa"/>
              <w:end w:w="90" w:type="dxa"/>
            </w:tcMar>
            <w:tcBorders>
              <w:top w:val="nil"/>
              <w:left w:val="nil"/>
              <w:bottom w:val="single" w:sz="4" w:color="E8E5DE"/>
              <w:right w:val="nil"/>
            </w:tcBorders>
          </w:tcPr>
          <w:p>
            <w:r>
              <w:rPr>
                <w:rFonts w:ascii="Arial" w:hAnsi="Arial" w:eastAsia="Arial"/>
                <w:b/>
                <w:i w:val="0"/>
                <w:color w:val="B58A2C"/>
                <w:sz w:val="18"/>
              </w:rPr>
              <w:t>Approved templates only</w:t>
            </w:r>
          </w:p>
        </w:tc>
      </w:tr>
    </w:tbl>
    <w:p>
      <w:pPr>
        <w:keepNext/>
        <w:spacing w:before="160" w:after="80" w:line="240" w:lineRule="auto"/>
        <w:widowControl/>
        <w:jc w:val="left"/>
      </w:pPr>
      <w:r>
        <w:rPr>
          <w:rFonts w:ascii="Arial" w:hAnsi="Arial" w:eastAsia="Arial"/>
          <w:b/>
          <w:i w:val="0"/>
          <w:color w:val="111111"/>
          <w:sz w:val="28"/>
        </w:rPr>
        <w:t>AI-assisted content</w:t>
      </w:r>
    </w:p>
    <w:p>
      <w:pPr>
        <w:pStyle w:val="ListBullet"/>
        <w:spacing w:before="0" w:after="60" w:line="259" w:lineRule="auto"/>
        <w:widowControl/>
        <w:jc w:val="left"/>
      </w:pPr>
      <w:r>
        <w:rPr>
          <w:rFonts w:ascii="Arial" w:hAnsi="Arial" w:eastAsia="Arial"/>
          <w:b w:val="0"/>
          <w:i w:val="0"/>
          <w:color w:val="111111"/>
          <w:sz w:val="20"/>
        </w:rPr>
        <w:t>AI may support brainstorming, drafting, editing and adaptation.</w:t>
      </w:r>
    </w:p>
    <w:p>
      <w:pPr>
        <w:pStyle w:val="ListBullet"/>
        <w:spacing w:before="0" w:after="60" w:line="259" w:lineRule="auto"/>
        <w:widowControl/>
        <w:jc w:val="left"/>
      </w:pPr>
      <w:r>
        <w:rPr>
          <w:rFonts w:ascii="Arial" w:hAnsi="Arial" w:eastAsia="Arial"/>
          <w:b w:val="0"/>
          <w:i w:val="0"/>
          <w:color w:val="111111"/>
          <w:sz w:val="20"/>
        </w:rPr>
        <w:t>No AI-generated content is published without human review.</w:t>
      </w:r>
    </w:p>
    <w:p>
      <w:pPr>
        <w:pStyle w:val="ListBullet"/>
        <w:spacing w:before="0" w:after="60" w:line="259" w:lineRule="auto"/>
        <w:widowControl/>
        <w:jc w:val="left"/>
      </w:pPr>
      <w:r>
        <w:rPr>
          <w:rFonts w:ascii="Arial" w:hAnsi="Arial" w:eastAsia="Arial"/>
          <w:b w:val="0"/>
          <w:i w:val="0"/>
          <w:color w:val="111111"/>
          <w:sz w:val="20"/>
        </w:rPr>
        <w:t>Technical claims must be verified by the appropriate subject-matter expert.</w:t>
      </w:r>
    </w:p>
    <w:p>
      <w:pPr>
        <w:pStyle w:val="ListBullet"/>
        <w:spacing w:before="0" w:after="60" w:line="259" w:lineRule="auto"/>
        <w:widowControl/>
        <w:jc w:val="left"/>
      </w:pPr>
      <w:r>
        <w:rPr>
          <w:rFonts w:ascii="Arial" w:hAnsi="Arial" w:eastAsia="Arial"/>
          <w:b w:val="0"/>
          <w:i w:val="0"/>
          <w:color w:val="111111"/>
          <w:sz w:val="20"/>
        </w:rPr>
        <w:t>Confidential or identifying client information must not be entered into unapproved AI tools.</w:t>
      </w:r>
    </w:p>
    <w:p>
      <w:pPr>
        <w:pStyle w:val="ListBullet"/>
        <w:spacing w:before="0" w:after="60" w:line="259" w:lineRule="auto"/>
        <w:widowControl/>
        <w:jc w:val="left"/>
      </w:pPr>
      <w:r>
        <w:rPr>
          <w:rFonts w:ascii="Arial" w:hAnsi="Arial" w:eastAsia="Arial"/>
          <w:b w:val="0"/>
          <w:i w:val="0"/>
          <w:color w:val="111111"/>
          <w:sz w:val="20"/>
        </w:rPr>
        <w:t>Final accountability remains with the person approving the content.</w:t>
      </w:r>
    </w:p>
    <w:p>
      <w:pPr>
        <w:keepNext/>
        <w:spacing w:before="160" w:after="80" w:line="240" w:lineRule="auto"/>
        <w:widowControl/>
        <w:jc w:val="left"/>
      </w:pPr>
      <w:r>
        <w:rPr>
          <w:rFonts w:ascii="Arial" w:hAnsi="Arial" w:eastAsia="Arial"/>
          <w:b/>
          <w:i w:val="0"/>
          <w:color w:val="111111"/>
          <w:sz w:val="28"/>
        </w:rPr>
        <w:t>Contextual judgment</w:t>
      </w:r>
    </w:p>
    <w:p>
      <w:pPr>
        <w:spacing w:before="0" w:after="120" w:line="264" w:lineRule="auto"/>
        <w:widowControl/>
        <w:jc w:val="both"/>
      </w:pPr>
      <w:r>
        <w:rPr>
          <w:rFonts w:ascii="Arial" w:hAnsi="Arial" w:eastAsia="Arial"/>
          <w:b w:val="0"/>
          <w:i w:val="0"/>
          <w:color w:val="111111"/>
          <w:sz w:val="19"/>
        </w:rPr>
        <w:t>The guide does not prescribe a rigid blacklist of marketing topics. Potentially sensitive or high-risk messaging follows the normal approval process so decisions can reflect context, timing and the broader climate.</w:t>
      </w:r>
    </w:p>
    <w:p>
      <w:r>
        <w:br w:type="page"/>
      </w:r>
    </w:p>
    <w:p>
      <w:pPr>
        <w:keepNext/>
        <w:spacing w:before="0" w:after="60" w:line="240" w:lineRule="auto"/>
        <w:widowControl/>
        <w:jc w:val="left"/>
      </w:pPr>
      <w:r>
        <w:rPr>
          <w:rFonts w:ascii="Arial" w:hAnsi="Arial" w:eastAsia="Arial"/>
          <w:b/>
          <w:i w:val="0"/>
          <w:color w:val="B58A2C"/>
          <w:sz w:val="18"/>
        </w:rPr>
        <w:t>11</w:t>
      </w:r>
    </w:p>
    <w:p>
      <w:pPr>
        <w:keepNext/>
        <w:spacing w:before="0" w:after="160" w:line="240" w:lineRule="auto"/>
        <w:widowControl/>
        <w:jc w:val="left"/>
      </w:pPr>
      <w:r>
        <w:rPr>
          <w:rFonts w:ascii="Arial" w:hAnsi="Arial" w:eastAsia="Arial"/>
          <w:b/>
          <w:i w:val="0"/>
          <w:color w:val="111111"/>
          <w:sz w:val="50"/>
        </w:rPr>
        <w:t>Asset management, review and rollout</w:t>
      </w:r>
    </w:p>
    <w:p>
      <w:pPr>
        <w:spacing w:before="0" w:after="160" w:line="264" w:lineRule="auto"/>
        <w:widowControl/>
        <w:jc w:val="left"/>
      </w:pPr>
      <w:r>
        <w:rPr>
          <w:rFonts w:ascii="Arial" w:hAnsi="Arial" w:eastAsia="Arial"/>
          <w:b w:val="0"/>
          <w:i w:val="0"/>
          <w:color w:val="666666"/>
          <w:sz w:val="22"/>
        </w:rPr>
        <w:t>The final files should be easy to find, difficult to misuse and clearly retired when superseded.</w:t>
      </w:r>
    </w:p>
    <w:p>
      <w:pPr>
        <w:keepNext/>
        <w:spacing w:before="160" w:after="80" w:line="240" w:lineRule="auto"/>
        <w:widowControl/>
        <w:jc w:val="left"/>
      </w:pPr>
      <w:r>
        <w:rPr>
          <w:rFonts w:ascii="Arial" w:hAnsi="Arial" w:eastAsia="Arial"/>
          <w:b/>
          <w:i w:val="0"/>
          <w:color w:val="111111"/>
          <w:sz w:val="28"/>
        </w:rPr>
        <w:t>Single source of truth</w:t>
      </w:r>
    </w:p>
    <w:p>
      <w:pPr>
        <w:spacing w:before="0" w:after="120" w:line="264" w:lineRule="auto"/>
        <w:widowControl/>
        <w:jc w:val="both"/>
      </w:pPr>
      <w:r>
        <w:rPr>
          <w:rFonts w:ascii="Arial" w:hAnsi="Arial" w:eastAsia="Arial"/>
          <w:b w:val="0"/>
          <w:i w:val="0"/>
          <w:color w:val="111111"/>
          <w:sz w:val="21"/>
        </w:rPr>
        <w:t>Maintain one controlled repository containing approved logos, templates, photography, icons, colour specifications, current guide files and implementation resources. Use clear version names and archive superseded materials.</w:t>
      </w:r>
    </w:p>
    <w:p>
      <w:pPr>
        <w:keepNext/>
        <w:spacing w:before="160" w:after="80" w:line="240" w:lineRule="auto"/>
        <w:widowControl/>
        <w:jc w:val="left"/>
      </w:pPr>
      <w:r>
        <w:rPr>
          <w:rFonts w:ascii="Arial" w:hAnsi="Arial" w:eastAsia="Arial"/>
          <w:b/>
          <w:i w:val="0"/>
          <w:color w:val="111111"/>
          <w:sz w:val="28"/>
        </w:rPr>
        <w:t>Brand Governance and Asset Register</w:t>
      </w:r>
    </w:p>
    <w:p>
      <w:pPr>
        <w:spacing w:before="0" w:after="120" w:line="264" w:lineRule="auto"/>
        <w:widowControl/>
        <w:jc w:val="both"/>
      </w:pPr>
      <w:r>
        <w:rPr>
          <w:rFonts w:ascii="Arial" w:hAnsi="Arial" w:eastAsia="Arial"/>
          <w:b w:val="0"/>
          <w:i w:val="0"/>
          <w:color w:val="111111"/>
          <w:sz w:val="21"/>
        </w:rPr>
        <w:t>The detailed asset register is intentionally deferred until the final files are stored in their permanent server locations. At that point, record permanent links, file owners, version numbers, approval dates, access permissions and review dates.</w:t>
      </w:r>
    </w:p>
    <w:p>
      <w:pPr>
        <w:keepNext/>
        <w:spacing w:before="160" w:after="80" w:line="240" w:lineRule="auto"/>
        <w:widowControl/>
        <w:jc w:val="left"/>
      </w:pPr>
      <w:r>
        <w:rPr>
          <w:rFonts w:ascii="Arial" w:hAnsi="Arial" w:eastAsia="Arial"/>
          <w:b/>
          <w:i w:val="0"/>
          <w:color w:val="111111"/>
          <w:sz w:val="28"/>
        </w:rPr>
        <w:t>Review cycle</w:t>
      </w:r>
    </w:p>
    <w:p>
      <w:pPr>
        <w:pStyle w:val="ListBullet"/>
        <w:spacing w:before="0" w:after="60" w:line="259" w:lineRule="auto"/>
        <w:widowControl/>
        <w:jc w:val="left"/>
      </w:pPr>
      <w:r>
        <w:rPr>
          <w:rFonts w:ascii="Arial" w:hAnsi="Arial" w:eastAsia="Arial"/>
          <w:b w:val="0"/>
          <w:i w:val="0"/>
          <w:color w:val="111111"/>
          <w:sz w:val="20"/>
        </w:rPr>
        <w:t>The brand is adopted for immediate rollout.</w:t>
      </w:r>
    </w:p>
    <w:p>
      <w:pPr>
        <w:pStyle w:val="ListBullet"/>
        <w:spacing w:before="0" w:after="60" w:line="259" w:lineRule="auto"/>
        <w:widowControl/>
        <w:jc w:val="left"/>
      </w:pPr>
      <w:r>
        <w:rPr>
          <w:rFonts w:ascii="Arial" w:hAnsi="Arial" w:eastAsia="Arial"/>
          <w:b w:val="0"/>
          <w:i w:val="0"/>
          <w:color w:val="111111"/>
          <w:sz w:val="20"/>
        </w:rPr>
        <w:t>The guide is formally reviewed annually.</w:t>
      </w:r>
    </w:p>
    <w:p>
      <w:pPr>
        <w:pStyle w:val="ListBullet"/>
        <w:spacing w:before="0" w:after="60" w:line="259" w:lineRule="auto"/>
        <w:widowControl/>
        <w:jc w:val="left"/>
      </w:pPr>
      <w:r>
        <w:rPr>
          <w:rFonts w:ascii="Arial" w:hAnsi="Arial" w:eastAsia="Arial"/>
          <w:b w:val="0"/>
          <w:i w:val="0"/>
          <w:color w:val="111111"/>
          <w:sz w:val="20"/>
        </w:rPr>
        <w:t>Interim updates require a meaningful change to the firm, services, strategy or approved visual system.</w:t>
      </w:r>
    </w:p>
    <w:p>
      <w:pPr>
        <w:pStyle w:val="ListBullet"/>
        <w:spacing w:before="0" w:after="60" w:line="259" w:lineRule="auto"/>
        <w:widowControl/>
        <w:jc w:val="left"/>
      </w:pPr>
      <w:r>
        <w:rPr>
          <w:rFonts w:ascii="Arial" w:hAnsi="Arial" w:eastAsia="Arial"/>
          <w:b w:val="0"/>
          <w:i w:val="0"/>
          <w:color w:val="111111"/>
          <w:sz w:val="20"/>
        </w:rPr>
        <w:t>Superseded assets should be archived and clearly marked so they are not reused.</w:t>
      </w:r>
    </w:p>
    <w:p>
      <w:pPr>
        <w:keepNext/>
        <w:spacing w:before="160" w:after="80" w:line="240" w:lineRule="auto"/>
        <w:widowControl/>
        <w:jc w:val="left"/>
      </w:pPr>
      <w:r>
        <w:rPr>
          <w:rFonts w:ascii="Arial" w:hAnsi="Arial" w:eastAsia="Arial"/>
          <w:b/>
          <w:i w:val="0"/>
          <w:color w:val="111111"/>
          <w:sz w:val="28"/>
        </w:rPr>
        <w:t>Success measures</w:t>
      </w:r>
    </w:p>
    <w:p>
      <w:pPr>
        <w:spacing w:before="0" w:after="120" w:line="264" w:lineRule="auto"/>
        <w:widowControl/>
        <w:jc w:val="both"/>
      </w:pPr>
      <w:r>
        <w:rPr>
          <w:rFonts w:ascii="Arial" w:hAnsi="Arial" w:eastAsia="Arial"/>
          <w:b w:val="0"/>
          <w:i w:val="0"/>
          <w:color w:val="111111"/>
          <w:sz w:val="21"/>
        </w:rPr>
        <w:t>Annual review should focus on a concise set of measures that can influence decisions: qualified inquiries, recruiting outcomes, engagement with useful educational content, adoption of approved templates, accessibility and consistency of implementation.</w:t>
      </w:r>
    </w:p>
    <w:tbl>
      <w:tblPr>
        <w:tblW w:type="auto" w:w="0"/>
        <w:jc w:val="center"/>
        <w:tblLayout w:type="fixed"/>
        <w:tblLook w:firstColumn="1" w:firstRow="1" w:lastColumn="0" w:lastRow="0" w:noHBand="0" w:noVBand="1" w:val="04A0"/>
      </w:tblPr>
      <w:tblGrid>
        <w:gridCol w:w="10224"/>
      </w:tblGrid>
      <w:tr>
        <w:trPr>
          <w:cantSplit/>
        </w:trPr>
        <w:tc>
          <w:tcPr>
            <w:tcW w:type="dxa" w:w="10224"/>
            <w:shd w:fill="1B1B1B"/>
            <w:tcMar>
              <w:top w:w="130" w:type="dxa"/>
              <w:start w:w="150" w:type="dxa"/>
              <w:bottom w:w="130" w:type="dxa"/>
              <w:end w:w="150" w:type="dxa"/>
            </w:tcMar>
            <w:tcBorders>
              <w:top w:val="nil"/>
              <w:left w:val="nil"/>
              <w:bottom w:val="nil"/>
              <w:right w:val="nil"/>
            </w:tcBorders>
          </w:tcPr>
          <w:p>
            <w:pPr>
              <w:spacing w:before="0" w:after="60" w:line="240" w:lineRule="auto"/>
            </w:pPr>
            <w:r>
              <w:rPr>
                <w:rFonts w:ascii="Arial" w:hAnsi="Arial" w:eastAsia="Arial"/>
                <w:b/>
                <w:i w:val="0"/>
                <w:color w:val="D4A842"/>
                <w:sz w:val="24"/>
              </w:rPr>
              <w:t>NEXT CONTROL DOCUMENT</w:t>
            </w:r>
          </w:p>
          <w:p>
            <w:pPr>
              <w:spacing w:before="0" w:after="0" w:line="276" w:lineRule="auto"/>
            </w:pPr>
            <w:r>
              <w:rPr>
                <w:rFonts w:ascii="Arial" w:hAnsi="Arial" w:eastAsia="Arial"/>
                <w:b w:val="0"/>
                <w:i w:val="0"/>
                <w:color w:val="FFFFFF"/>
                <w:sz w:val="20"/>
              </w:rPr>
              <w:t>After approved assets are placed on Janke LLP servers, complete the Brand Governance and Asset Register with permanent links. Until then, avoid recording temporary paths.</w:t>
            </w:r>
          </w:p>
        </w:tc>
      </w:tr>
    </w:tbl>
    <w:p>
      <w:pPr>
        <w:spacing w:after="0"/>
      </w:pPr>
    </w:p>
    <w:p>
      <w:r>
        <w:br w:type="page"/>
      </w:r>
    </w:p>
    <w:p>
      <w:pPr>
        <w:keepNext/>
        <w:spacing w:before="0" w:after="60" w:line="240" w:lineRule="auto"/>
        <w:widowControl/>
        <w:jc w:val="left"/>
      </w:pPr>
      <w:r>
        <w:rPr>
          <w:rFonts w:ascii="Arial" w:hAnsi="Arial" w:eastAsia="Arial"/>
          <w:b/>
          <w:i w:val="0"/>
          <w:color w:val="B58A2C"/>
          <w:sz w:val="18"/>
        </w:rPr>
        <w:t>12</w:t>
      </w:r>
    </w:p>
    <w:p>
      <w:pPr>
        <w:keepNext/>
        <w:spacing w:before="0" w:after="160" w:line="240" w:lineRule="auto"/>
        <w:widowControl/>
        <w:jc w:val="left"/>
      </w:pPr>
      <w:r>
        <w:rPr>
          <w:rFonts w:ascii="Arial" w:hAnsi="Arial" w:eastAsia="Arial"/>
          <w:b/>
          <w:i w:val="0"/>
          <w:color w:val="111111"/>
          <w:sz w:val="50"/>
        </w:rPr>
        <w:t>Approved deliverables and remaining work</w:t>
      </w:r>
    </w:p>
    <w:p>
      <w:pPr>
        <w:spacing w:before="0" w:after="160" w:line="264" w:lineRule="auto"/>
        <w:widowControl/>
        <w:jc w:val="left"/>
      </w:pPr>
      <w:r>
        <w:rPr>
          <w:rFonts w:ascii="Arial" w:hAnsi="Arial" w:eastAsia="Arial"/>
          <w:b w:val="0"/>
          <w:i w:val="0"/>
          <w:color w:val="666666"/>
          <w:sz w:val="22"/>
        </w:rPr>
        <w:t>The core guide and template package is complete. The table below distinguishes approved assets, deferred controls and optional future development.</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3528"/>
            <w:shd w:fill="111111"/>
            <w:tcMar>
              <w:top w:w="65" w:type="dxa"/>
              <w:start w:w="75" w:type="dxa"/>
              <w:bottom w:w="65" w:type="dxa"/>
              <w:end w:w="75" w:type="dxa"/>
            </w:tcMar>
          </w:tcPr>
          <w:p>
            <w:r>
              <w:rPr>
                <w:rFonts w:ascii="Arial" w:hAnsi="Arial" w:eastAsia="Arial"/>
                <w:b/>
                <w:i w:val="0"/>
                <w:color w:val="FFFFFF"/>
                <w:sz w:val="16"/>
              </w:rPr>
              <w:t>Deliverable</w:t>
            </w:r>
          </w:p>
        </w:tc>
        <w:tc>
          <w:tcPr>
            <w:tcW w:type="dxa" w:w="3960"/>
            <w:shd w:fill="111111"/>
            <w:tcMar>
              <w:top w:w="65" w:type="dxa"/>
              <w:start w:w="75" w:type="dxa"/>
              <w:bottom w:w="65" w:type="dxa"/>
              <w:end w:w="75" w:type="dxa"/>
            </w:tcMar>
          </w:tcPr>
          <w:p>
            <w:r>
              <w:rPr>
                <w:rFonts w:ascii="Arial" w:hAnsi="Arial" w:eastAsia="Arial"/>
                <w:b/>
                <w:i w:val="0"/>
                <w:color w:val="FFFFFF"/>
                <w:sz w:val="16"/>
              </w:rPr>
              <w:t>Purpose</w:t>
            </w:r>
          </w:p>
        </w:tc>
        <w:tc>
          <w:tcPr>
            <w:tcW w:type="dxa" w:w="2592"/>
            <w:shd w:fill="111111"/>
            <w:tcMar>
              <w:top w:w="65" w:type="dxa"/>
              <w:start w:w="75" w:type="dxa"/>
              <w:bottom w:w="65" w:type="dxa"/>
              <w:end w:w="75" w:type="dxa"/>
            </w:tcMar>
          </w:tcPr>
          <w:p>
            <w:r>
              <w:rPr>
                <w:rFonts w:ascii="Arial" w:hAnsi="Arial" w:eastAsia="Arial"/>
                <w:b/>
                <w:i w:val="0"/>
                <w:color w:val="FFFFFF"/>
                <w:sz w:val="16"/>
              </w:rPr>
              <w:t>Status</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Master Brand Guide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This document</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666666"/>
                <w:sz w:val="15"/>
              </w:rPr>
              <w:t>For approval - Version 2</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Brand Quick Reference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One-page staff reference</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Brand in Practice Appendix</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Everyday do / do not guidance</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Letter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Formal correspondence</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Memo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Technical and advisory memo</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Proposal standard, full template and at-a-glance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New engagement proposals</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One-page client handout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Client education and decisions</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Recruitment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Employment marketing</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Advisory report standard and Word / Excel templates</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Advisory analysis and recommendations</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Social media standard, template and samples</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Social publishing</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Testimonial and case-study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Client stories</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PowerPoint standard and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Dark black / gold presentation system</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Email standard and signature template</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Email and signature system</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Working with Janke LLP</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Prospective-client handout - dark edition</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B58A2C"/>
                <w:sz w:val="15"/>
              </w:rPr>
              <w:t>Approved</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Brand Governance and Asset Register</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Permanent asset links and ownership</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666666"/>
                <w:sz w:val="15"/>
              </w:rPr>
              <w:t>Deferred until server storage</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Staff bio and headshot standard</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Biography and portrait consistency</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666666"/>
                <w:sz w:val="15"/>
              </w:rPr>
              <w:t>Optional future output</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Website content framework</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Service, industry and biography pages</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666666"/>
                <w:sz w:val="15"/>
              </w:rPr>
              <w:t>Optional future output</w:t>
            </w:r>
          </w:p>
        </w:tc>
      </w:tr>
      <w:tr>
        <w:trPr>
          <w:cantSplit/>
        </w:trPr>
        <w:tc>
          <w:tcPr>
            <w:tcW w:type="dxa" w:w="3528"/>
            <w:tcMar>
              <w:top w:w="55" w:type="dxa"/>
              <w:start w:w="75" w:type="dxa"/>
              <w:bottom w:w="55" w:type="dxa"/>
              <w:end w:w="75" w:type="dxa"/>
            </w:tcMar>
            <w:tcBorders>
              <w:top w:val="nil"/>
              <w:left w:val="nil"/>
              <w:bottom w:val="single" w:sz="3" w:color="E8E5DE"/>
              <w:right w:val="nil"/>
            </w:tcBorders>
          </w:tcPr>
          <w:p>
            <w:r>
              <w:rPr>
                <w:rFonts w:ascii="Arial" w:hAnsi="Arial" w:eastAsia="Arial"/>
                <w:b/>
                <w:i w:val="0"/>
                <w:color w:val="111111"/>
                <w:sz w:val="15"/>
              </w:rPr>
              <w:t>Brand rollout checklist</w:t>
            </w:r>
          </w:p>
        </w:tc>
        <w:tc>
          <w:tcPr>
            <w:tcW w:type="dxa" w:w="3960"/>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111111"/>
                <w:sz w:val="15"/>
              </w:rPr>
              <w:t>Implementation tracking</w:t>
            </w:r>
          </w:p>
        </w:tc>
        <w:tc>
          <w:tcPr>
            <w:tcW w:type="dxa" w:w="2592"/>
            <w:tcMar>
              <w:top w:w="55" w:type="dxa"/>
              <w:start w:w="75" w:type="dxa"/>
              <w:bottom w:w="55" w:type="dxa"/>
              <w:end w:w="75" w:type="dxa"/>
            </w:tcMar>
            <w:tcBorders>
              <w:top w:val="nil"/>
              <w:left w:val="nil"/>
              <w:bottom w:val="single" w:sz="3" w:color="E8E5DE"/>
              <w:right w:val="nil"/>
            </w:tcBorders>
          </w:tcPr>
          <w:p>
            <w:r>
              <w:rPr>
                <w:rFonts w:ascii="Arial" w:hAnsi="Arial" w:eastAsia="Arial"/>
                <w:b w:val="0"/>
                <w:i w:val="0"/>
                <w:color w:val="666666"/>
                <w:sz w:val="15"/>
              </w:rPr>
              <w:t>Next recommended output</w:t>
            </w:r>
          </w:p>
        </w:tc>
      </w:tr>
    </w:tbl>
    <w:p>
      <w:pPr>
        <w:keepNext/>
        <w:spacing w:before="160" w:after="80" w:line="240" w:lineRule="auto"/>
        <w:widowControl/>
        <w:jc w:val="left"/>
      </w:pPr>
      <w:r>
        <w:rPr>
          <w:rFonts w:ascii="Arial" w:hAnsi="Arial" w:eastAsia="Arial"/>
          <w:b/>
          <w:i w:val="0"/>
          <w:color w:val="111111"/>
          <w:sz w:val="28"/>
        </w:rPr>
        <w:t>Approval checkpoint</w:t>
      </w:r>
    </w:p>
    <w:p>
      <w:pPr>
        <w:keepNext w:val="0"/>
        <w:spacing w:before="0" w:after="60" w:line="240" w:lineRule="auto"/>
        <w:widowControl/>
        <w:jc w:val="left"/>
      </w:pPr>
      <w:r>
        <w:rPr>
          <w:rFonts w:ascii="Arial" w:hAnsi="Arial" w:eastAsia="Arial"/>
          <w:b/>
          <w:i w:val="0"/>
          <w:color w:val="B58A2C"/>
          <w:sz w:val="20"/>
        </w:rPr>
        <w:t>Approve this consolidated guide or identify revisions. After approval, the next separate output will be the template colour audit and then the Brand Rollout and Implementation Checklist.</w:t>
      </w:r>
    </w:p>
    <w:sectPr w:rsidR="00FC693F" w:rsidRPr="0006063C" w:rsidSect="00034616">
      <w:headerReference w:type="default" r:id="rId9"/>
      <w:footerReference w:type="default" r:id="rId10"/>
      <w:pgSz w:w="12240" w:h="15840"/>
      <w:pgMar w:top="792" w:right="1008" w:bottom="835" w:left="1008" w:header="259"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eastAsia="Arial"/>
        <w:b/>
        <w:i w:val="0"/>
        <w:color w:val="666666"/>
        <w:sz w:val="16"/>
      </w:rPr>
      <w:t xml:space="preserve">JANKE LLP  |  CONSOLIDATED BRAND GUIDE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112"/>
      <w:gridCol w:w="5112"/>
    </w:tblGrid>
    <w:tr>
      <w:tc>
        <w:tcPr>
          <w:tcW w:type="dxa" w:w="6912"/>
          <w:tcBorders>
            <w:top w:val="nil"/>
            <w:left w:val="nil"/>
            <w:bottom w:val="nil"/>
            <w:right w:val="nil"/>
          </w:tcBorders>
          <w:tcMar>
            <w:top w:w="0" w:type="dxa"/>
            <w:start w:w="0" w:type="dxa"/>
            <w:bottom w:w="15" w:type="dxa"/>
            <w:end w:w="0" w:type="dxa"/>
          </w:tcMar>
        </w:tcPr>
        <w:p>
          <w:pPr>
            <w:spacing w:before="0" w:after="0" w:line="240" w:lineRule="auto"/>
          </w:pPr>
          <w:r>
            <w:rPr>
              <w:rFonts w:ascii="Arial" w:hAnsi="Arial" w:eastAsia="Arial"/>
              <w:b/>
              <w:i w:val="0"/>
              <w:color w:val="B58A2C"/>
              <w:sz w:val="17"/>
            </w:rPr>
            <w:t>JANKE LLP  |  BRAND GUIDE</w:t>
          </w:r>
        </w:p>
      </w:tc>
      <w:tc>
        <w:tcPr>
          <w:tcW w:type="dxa" w:w="3311"/>
          <w:tcBorders>
            <w:top w:val="nil"/>
            <w:left w:val="nil"/>
            <w:bottom w:val="nil"/>
            <w:right w:val="nil"/>
          </w:tcBorders>
          <w:tcMar>
            <w:top w:w="0" w:type="dxa"/>
            <w:start w:w="0" w:type="dxa"/>
            <w:bottom w:w="15" w:type="dxa"/>
            <w:end w:w="0" w:type="dxa"/>
          </w:tcMar>
        </w:tcPr>
        <w:p>
          <w:pPr>
            <w:jc w:val="right"/>
          </w:pPr>
          <w:r>
            <w:drawing>
              <wp:inline xmlns:a="http://schemas.openxmlformats.org/drawingml/2006/main" xmlns:pic="http://schemas.openxmlformats.org/drawingml/2006/picture">
                <wp:extent cx="1463040" cy="373626"/>
                <wp:docPr id="1" name="Picture 1"/>
                <wp:cNvGraphicFramePr>
                  <a:graphicFrameLocks noChangeAspect="1"/>
                </wp:cNvGraphicFramePr>
                <a:graphic>
                  <a:graphicData uri="http://schemas.openxmlformats.org/drawingml/2006/picture">
                    <pic:pic>
                      <pic:nvPicPr>
                        <pic:cNvPr id="0" name="janke_logo_header_trim.png"/>
                        <pic:cNvPicPr/>
                      </pic:nvPicPr>
                      <pic:blipFill>
                        <a:blip r:embed="rId1"/>
                        <a:stretch>
                          <a:fillRect/>
                        </a:stretch>
                      </pic:blipFill>
                      <pic:spPr>
                        <a:xfrm>
                          <a:off x="0" y="0"/>
                          <a:ext cx="1463040" cy="373626"/>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Janke LLP Consolidated Brand Guide</dc:title>
  <dc:subject>Consolidated brand standards with refined justified body typography</dc:subject>
  <dc:creator>Janke LLP</dc:creator>
  <cp:keywords>Janke LLP, brand guide, Prairie Gold, templates, communications</cp:keywords>
  <dc:description>generated by python-docx</dc:description>
  <cp:lastModifiedBy/>
  <cp:revision>1</cp:revision>
  <dcterms:created xsi:type="dcterms:W3CDTF">2013-12-23T23:15:00Z</dcterms:created>
  <dcterms:modified xsi:type="dcterms:W3CDTF">2013-12-23T23:15:00Z</dcterms:modified>
  <cp:category/>
</cp:coreProperties>
</file>