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04"/>
        <w:gridCol w:w="3168"/>
      </w:tblGrid>
      <w:tr>
        <w:tc>
          <w:tcPr>
            <w:tcW w:type="dxa" w:w="5515"/>
            <w:tcMar>
              <w:top w:w="25" w:type="dxa"/>
              <w:start w:w="0" w:type="dxa"/>
              <w:bottom w:w="40" w:type="dxa"/>
              <w:end w:w="9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B58A2C"/>
                <w:sz w:val="19"/>
              </w:rPr>
              <w:t>JANKE LLP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1B1B1B"/>
                <w:sz w:val="50"/>
              </w:rPr>
              <w:t>Brand Quick Reference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5C5C5C"/>
                <w:sz w:val="18"/>
              </w:rPr>
              <w:t>Everyday guidance for clear, consistent and practical communication</w:t>
            </w:r>
          </w:p>
        </w:tc>
        <w:tc>
          <w:tcPr>
            <w:tcW w:type="dxa" w:w="5515"/>
            <w:tcMar>
              <w:top w:w="0" w:type="dxa"/>
              <w:start w:w="0" w:type="dxa"/>
              <w:bottom w:w="40" w:type="dxa"/>
              <w:end w:w="0" w:type="dxa"/>
            </w:tcMar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0" cy="5137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anke_logo_header_ful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137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72"/>
      </w:tblGrid>
      <w:tr>
        <w:tc>
          <w:tcPr>
            <w:tcW w:type="dxa" w:w="11030"/>
            <w:shd w:fill="1B1B1B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olor w:val="D4A842"/>
                <w:sz w:val="16"/>
              </w:rPr>
              <w:t>ADVISORY-LED CPA FIRM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9"/>
              </w:rPr>
              <w:t>Sophisticated advice. Practical clarity. Better decisions for Saskatchewan businesses, professionals, farms and families.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7"/>
        <w:gridCol w:w="5357"/>
      </w:tblGrid>
      <w:tr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213"/>
            </w:tblGrid>
            <w:tr>
              <w:trPr/>
              <w:tc>
                <w:tcPr>
                  <w:tcW w:type="dxa" w:w="5515"/>
                  <w:shd w:fill="F7F5F0"/>
                  <w:tcMar>
                    <w:top w:w="105" w:type="dxa"/>
                    <w:start w:w="120" w:type="dxa"/>
                    <w:bottom w:w="105" w:type="dxa"/>
                    <w:end w:w="120" w:type="dxa"/>
                  </w:tcMar>
                  <w:tcBorders>
                    <w:top w:val="single" w:sz="5" w:color="C9C5BD"/>
                    <w:left w:val="single" w:sz="5" w:color="C9C5BD"/>
                    <w:bottom w:val="single" w:sz="5" w:color="C9C5BD"/>
                    <w:right w:val="single" w:sz="5" w:color="C9C5BD"/>
                  </w:tcBorders>
                  <w:vAlign w:val="top"/>
                </w:tcPr>
                <w:p>
                  <w:pPr>
                    <w:spacing w:before="0" w:after="8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B58A2C"/>
                      <w:sz w:val="16"/>
                    </w:rPr>
                    <w:t xml:space="preserve">01  </w:t>
                  </w: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9"/>
                    </w:rPr>
                    <w:t>MESSAGING</w:t>
                  </w:r>
                </w:p>
                <w:tbl>
                  <w:tblPr>
                    <w:tblW w:type="auto" w:w="0"/>
                    <w:jc w:val="center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5515"/>
                  </w:tblGrid>
                  <w:tr>
                    <w:tc>
                      <w:tcPr>
                        <w:tcW w:type="dxa" w:w="5515"/>
                        <w:shd w:fill="1B1B1B"/>
                        <w:tcMar>
                          <w:top w:w="90" w:type="dxa"/>
                          <w:start w:w="120" w:type="dxa"/>
                          <w:bottom w:w="90" w:type="dxa"/>
                          <w:end w:w="120" w:type="dxa"/>
                        </w:tcMar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D4A842"/>
                            <w:sz w:val="26"/>
                          </w:rPr>
                          <w:t>Grounded advice. Grow better.</w:t>
                        </w:r>
                      </w:p>
                      <w:p>
                        <w:pPr>
                          <w:spacing w:before="40" w:after="0" w:line="240" w:lineRule="auto"/>
                        </w:pPr>
                        <w:r>
                          <w:rPr>
                            <w:rFonts w:ascii="Arial" w:hAnsi="Arial" w:eastAsia="Arial"/>
                            <w:b w:val="0"/>
                            <w:i w:val="0"/>
                            <w:color w:val="FFFFFF"/>
                            <w:sz w:val="16"/>
                          </w:rPr>
                          <w:t>Use selectively. Never attach it to the logo, formal letters or email signatures.</w:t>
                        </w:r>
                      </w:p>
                    </w:tc>
                  </w:tr>
                </w:tbl>
                <w:p/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Conversation prompt: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What does better look like?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Primary CTA: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Start the conversation</w:t>
                  </w:r>
                </w:p>
              </w:tc>
            </w:tr>
            <w:tr>
              <w:trPr/>
              <w:tc>
                <w:tcPr>
                  <w:tcW w:type="dxa" w:w="5515"/>
                  <w:shd w:fill="FFFFFF"/>
                  <w:tcMar>
                    <w:top w:w="105" w:type="dxa"/>
                    <w:start w:w="120" w:type="dxa"/>
                    <w:bottom w:w="105" w:type="dxa"/>
                    <w:end w:w="120" w:type="dxa"/>
                  </w:tcMar>
                  <w:tcBorders>
                    <w:top w:val="single" w:sz="5" w:color="C9C5BD"/>
                    <w:left w:val="single" w:sz="5" w:color="C9C5BD"/>
                    <w:bottom w:val="single" w:sz="5" w:color="C9C5BD"/>
                    <w:right w:val="single" w:sz="5" w:color="C9C5BD"/>
                  </w:tcBorders>
                  <w:vAlign w:val="top"/>
                </w:tcPr>
                <w:p>
                  <w:pPr>
                    <w:spacing w:before="0" w:after="8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B58A2C"/>
                      <w:sz w:val="16"/>
                    </w:rPr>
                    <w:t xml:space="preserve">02  </w:t>
                  </w: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9"/>
                    </w:rPr>
                    <w:t>VOICE AND WRITING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Professional, plainspoken, calm and confident.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Lead with the client’s decision, need or opportunity.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Explain complexity in practical language and make the next step clear.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Avoid hype, jargon, vague superlatives and unnecessary formality.</w:t>
                  </w:r>
                </w:p>
              </w:tc>
            </w:tr>
            <w:tr>
              <w:trPr/>
              <w:tc>
                <w:tcPr>
                  <w:tcW w:type="dxa" w:w="5515"/>
                  <w:shd w:fill="F7F5F0"/>
                  <w:tcMar>
                    <w:top w:w="105" w:type="dxa"/>
                    <w:start w:w="120" w:type="dxa"/>
                    <w:bottom w:w="105" w:type="dxa"/>
                    <w:end w:w="120" w:type="dxa"/>
                  </w:tcMar>
                  <w:tcBorders>
                    <w:top w:val="single" w:sz="5" w:color="C9C5BD"/>
                    <w:left w:val="single" w:sz="5" w:color="C9C5BD"/>
                    <w:bottom w:val="single" w:sz="5" w:color="C9C5BD"/>
                    <w:right w:val="single" w:sz="5" w:color="C9C5BD"/>
                  </w:tcBorders>
                  <w:vAlign w:val="top"/>
                </w:tcPr>
                <w:p>
                  <w:pPr>
                    <w:spacing w:before="0" w:after="8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B58A2C"/>
                      <w:sz w:val="16"/>
                    </w:rPr>
                    <w:t xml:space="preserve">03  </w:t>
                  </w: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9"/>
                    </w:rPr>
                    <w:t>LOGO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Use only approved logo files; keep the structure unchanged.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Use black on white or white on black. Maintain clear space and legibility.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Do not stretch, crop, redraw, add effects or attach a tagline.</w:t>
                  </w:r>
                </w:p>
              </w:tc>
            </w:tr>
            <w:tr>
              <w:tc>
                <w:tcPr>
                  <w:tcW w:type="dxa" w:w="5515"/>
                  <w:shd w:fill="FFFFFF"/>
                  <w:tcMar>
                    <w:top w:w="105" w:type="dxa"/>
                    <w:start w:w="120" w:type="dxa"/>
                    <w:bottom w:w="105" w:type="dxa"/>
                    <w:end w:w="120" w:type="dxa"/>
                  </w:tcMar>
                  <w:tcBorders>
                    <w:top w:val="single" w:sz="5" w:color="C9C5BD"/>
                    <w:left w:val="single" w:sz="5" w:color="C9C5BD"/>
                    <w:bottom w:val="single" w:sz="5" w:color="C9C5BD"/>
                    <w:right w:val="single" w:sz="5" w:color="C9C5BD"/>
                  </w:tcBorders>
                  <w:vAlign w:val="top"/>
                </w:tcPr>
                <w:p>
                  <w:pPr>
                    <w:spacing w:before="0" w:after="8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B58A2C"/>
                      <w:sz w:val="16"/>
                    </w:rPr>
                    <w:t xml:space="preserve">04  </w:t>
                  </w: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9"/>
                    </w:rPr>
                    <w:t>PHOTOGRAPHY AND STORIES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Prefer real people, Saskatchewan places and authentic working environments.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Keep imagery polished but genuine; minimize generic stock photography.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Obtain project-specific consent for client photos, quotations and case studies.</w:t>
                  </w:r>
                </w:p>
              </w:tc>
            </w:tr>
          </w:tbl>
          <w:p/>
        </w:tc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213"/>
            </w:tblGrid>
            <w:tr>
              <w:trPr/>
              <w:tc>
                <w:tcPr>
                  <w:tcW w:type="dxa" w:w="5515"/>
                  <w:shd w:fill="F7F5F0"/>
                  <w:tcMar>
                    <w:top w:w="105" w:type="dxa"/>
                    <w:start w:w="120" w:type="dxa"/>
                    <w:bottom w:w="105" w:type="dxa"/>
                    <w:end w:w="120" w:type="dxa"/>
                  </w:tcMar>
                  <w:tcBorders>
                    <w:top w:val="single" w:sz="5" w:color="C9C5BD"/>
                    <w:left w:val="single" w:sz="5" w:color="C9C5BD"/>
                    <w:bottom w:val="single" w:sz="5" w:color="C9C5BD"/>
                    <w:right w:val="single" w:sz="5" w:color="C9C5BD"/>
                  </w:tcBorders>
                  <w:vAlign w:val="top"/>
                </w:tcPr>
                <w:p>
                  <w:pPr>
                    <w:spacing w:before="0" w:after="8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B58A2C"/>
                      <w:sz w:val="16"/>
                    </w:rPr>
                    <w:t xml:space="preserve">05  </w:t>
                  </w: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9"/>
                    </w:rPr>
                    <w:t>COLOUR PALETTE</w:t>
                  </w:r>
                </w:p>
                <w:tbl>
                  <w:tblPr>
                    <w:tblW w:type="auto" w:w="0"/>
                    <w:jc w:val="center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605"/>
                    <w:gridCol w:w="2088"/>
                    <w:gridCol w:w="2088"/>
                  </w:tblGrid>
                  <w:tr>
                    <w:tc>
                      <w:tcPr>
                        <w:tcW w:type="dxa" w:w="605"/>
                        <w:shd w:fill="1B1B1B"/>
                        <w:tcMar>
                          <w:top w:w="35" w:type="dxa"/>
                          <w:start w:w="35" w:type="dxa"/>
                          <w:bottom w:w="35" w:type="dxa"/>
                          <w:end w:w="35" w:type="dxa"/>
                        </w:tcMar>
                        <w:vAlign w:val="center"/>
                        <w:tcBorders>
                          <w:bottom w:val="single" w:sz="3" w:color="E8E5DE"/>
                        </w:tcBorders>
                      </w:tcPr>
                      <w:p/>
                    </w:tc>
                    <w:tc>
                      <w:tcPr>
                        <w:tcW w:type="dxa" w:w="2088"/>
                        <w:tcMar>
                          <w:top w:w="35" w:type="dxa"/>
                          <w:start w:w="75" w:type="dxa"/>
                          <w:bottom w:w="35" w:type="dxa"/>
                          <w:end w:w="45" w:type="dxa"/>
                        </w:tcMar>
                        <w:vAlign w:val="center"/>
                        <w:tcBorders>
                          <w:bottom w:val="single" w:sz="3" w:color="E8E5DE"/>
                        </w:tcBorders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1B1B1B"/>
                            <w:sz w:val="15"/>
                          </w:rPr>
                          <w:t>Near-black</w:t>
                        </w:r>
                      </w:p>
                    </w:tc>
                    <w:tc>
                      <w:tcPr>
                        <w:tcW w:type="dxa" w:w="2088"/>
                        <w:tcMar>
                          <w:top w:w="35" w:type="dxa"/>
                          <w:start w:w="45" w:type="dxa"/>
                          <w:bottom w:w="35" w:type="dxa"/>
                          <w:end w:w="45" w:type="dxa"/>
                        </w:tcMar>
                        <w:vAlign w:val="center"/>
                        <w:tcBorders>
                          <w:bottom w:val="single" w:sz="3" w:color="E8E5DE"/>
                        </w:tcBorders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1B1B1B"/>
                            <w:sz w:val="15"/>
                          </w:rPr>
                          <w:t>#1B1B1B</w:t>
                        </w:r>
                        <w:r>
                          <w:rPr>
                            <w:rFonts w:ascii="Arial" w:hAnsi="Arial" w:eastAsia="Arial"/>
                            <w:b w:val="0"/>
                            <w:i w:val="0"/>
                            <w:color w:val="5C5C5C"/>
                            <w:sz w:val="13"/>
                          </w:rPr>
                          <w:t xml:space="preserve">  RGB 27, 27, 27</w:t>
                        </w:r>
                      </w:p>
                    </w:tc>
                  </w:tr>
                  <w:tr>
                    <w:tc>
                      <w:tcPr>
                        <w:tcW w:type="dxa" w:w="605"/>
                        <w:shd w:fill="FFFFFF"/>
                        <w:tcMar>
                          <w:top w:w="35" w:type="dxa"/>
                          <w:start w:w="35" w:type="dxa"/>
                          <w:bottom w:w="35" w:type="dxa"/>
                          <w:end w:w="35" w:type="dxa"/>
                        </w:tcMar>
                        <w:vAlign w:val="center"/>
                        <w:tcBorders>
                          <w:bottom w:val="single" w:sz="3" w:color="E8E5DE"/>
                        </w:tcBorders>
                      </w:tcPr>
                      <w:p/>
                    </w:tc>
                    <w:tc>
                      <w:tcPr>
                        <w:tcW w:type="dxa" w:w="2088"/>
                        <w:tcMar>
                          <w:top w:w="35" w:type="dxa"/>
                          <w:start w:w="75" w:type="dxa"/>
                          <w:bottom w:w="35" w:type="dxa"/>
                          <w:end w:w="45" w:type="dxa"/>
                        </w:tcMar>
                        <w:vAlign w:val="center"/>
                        <w:tcBorders>
                          <w:bottom w:val="single" w:sz="3" w:color="E8E5DE"/>
                        </w:tcBorders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1B1B1B"/>
                            <w:sz w:val="15"/>
                          </w:rPr>
                          <w:t>White</w:t>
                        </w:r>
                      </w:p>
                    </w:tc>
                    <w:tc>
                      <w:tcPr>
                        <w:tcW w:type="dxa" w:w="2088"/>
                        <w:tcMar>
                          <w:top w:w="35" w:type="dxa"/>
                          <w:start w:w="45" w:type="dxa"/>
                          <w:bottom w:w="35" w:type="dxa"/>
                          <w:end w:w="45" w:type="dxa"/>
                        </w:tcMar>
                        <w:vAlign w:val="center"/>
                        <w:tcBorders>
                          <w:bottom w:val="single" w:sz="3" w:color="E8E5DE"/>
                        </w:tcBorders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1B1B1B"/>
                            <w:sz w:val="15"/>
                          </w:rPr>
                          <w:t>#FFFFFF</w:t>
                        </w:r>
                        <w:r>
                          <w:rPr>
                            <w:rFonts w:ascii="Arial" w:hAnsi="Arial" w:eastAsia="Arial"/>
                            <w:b w:val="0"/>
                            <w:i w:val="0"/>
                            <w:color w:val="5C5C5C"/>
                            <w:sz w:val="13"/>
                          </w:rPr>
                          <w:t xml:space="preserve">  RGB 255, 255, 255</w:t>
                        </w:r>
                      </w:p>
                    </w:tc>
                  </w:tr>
                  <w:tr>
                    <w:tc>
                      <w:tcPr>
                        <w:tcW w:type="dxa" w:w="605"/>
                        <w:shd w:fill="D4A842"/>
                        <w:tcMar>
                          <w:top w:w="35" w:type="dxa"/>
                          <w:start w:w="35" w:type="dxa"/>
                          <w:bottom w:w="35" w:type="dxa"/>
                          <w:end w:w="35" w:type="dxa"/>
                        </w:tcMar>
                        <w:vAlign w:val="center"/>
                        <w:tcBorders>
                          <w:bottom w:val="single" w:sz="3" w:color="E8E5DE"/>
                        </w:tcBorders>
                      </w:tcPr>
                      <w:p/>
                    </w:tc>
                    <w:tc>
                      <w:tcPr>
                        <w:tcW w:type="dxa" w:w="2088"/>
                        <w:tcMar>
                          <w:top w:w="35" w:type="dxa"/>
                          <w:start w:w="75" w:type="dxa"/>
                          <w:bottom w:w="35" w:type="dxa"/>
                          <w:end w:w="45" w:type="dxa"/>
                        </w:tcMar>
                        <w:vAlign w:val="center"/>
                        <w:tcBorders>
                          <w:bottom w:val="single" w:sz="3" w:color="E8E5DE"/>
                        </w:tcBorders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1B1B1B"/>
                            <w:sz w:val="15"/>
                          </w:rPr>
                          <w:t>Bright prairie gold</w:t>
                        </w:r>
                      </w:p>
                    </w:tc>
                    <w:tc>
                      <w:tcPr>
                        <w:tcW w:type="dxa" w:w="2088"/>
                        <w:tcMar>
                          <w:top w:w="35" w:type="dxa"/>
                          <w:start w:w="45" w:type="dxa"/>
                          <w:bottom w:w="35" w:type="dxa"/>
                          <w:end w:w="45" w:type="dxa"/>
                        </w:tcMar>
                        <w:vAlign w:val="center"/>
                        <w:tcBorders>
                          <w:bottom w:val="single" w:sz="3" w:color="E8E5DE"/>
                        </w:tcBorders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1B1B1B"/>
                            <w:sz w:val="15"/>
                          </w:rPr>
                          <w:t>#D4A842</w:t>
                        </w:r>
                        <w:r>
                          <w:rPr>
                            <w:rFonts w:ascii="Arial" w:hAnsi="Arial" w:eastAsia="Arial"/>
                            <w:b w:val="0"/>
                            <w:i w:val="0"/>
                            <w:color w:val="5C5C5C"/>
                            <w:sz w:val="13"/>
                          </w:rPr>
                          <w:t xml:space="preserve">  RGB 212, 168, 66</w:t>
                        </w:r>
                      </w:p>
                    </w:tc>
                  </w:tr>
                  <w:tr>
                    <w:tc>
                      <w:tcPr>
                        <w:tcW w:type="dxa" w:w="605"/>
                        <w:shd w:fill="B58A2C"/>
                        <w:tcMar>
                          <w:top w:w="35" w:type="dxa"/>
                          <w:start w:w="35" w:type="dxa"/>
                          <w:bottom w:w="35" w:type="dxa"/>
                          <w:end w:w="35" w:type="dxa"/>
                        </w:tcMar>
                        <w:vAlign w:val="center"/>
                        <w:tcBorders>
                          <w:bottom w:val="single" w:sz="3" w:color="E8E5DE"/>
                        </w:tcBorders>
                      </w:tcPr>
                      <w:p/>
                    </w:tc>
                    <w:tc>
                      <w:tcPr>
                        <w:tcW w:type="dxa" w:w="2088"/>
                        <w:tcMar>
                          <w:top w:w="35" w:type="dxa"/>
                          <w:start w:w="75" w:type="dxa"/>
                          <w:bottom w:w="35" w:type="dxa"/>
                          <w:end w:w="45" w:type="dxa"/>
                        </w:tcMar>
                        <w:vAlign w:val="center"/>
                        <w:tcBorders>
                          <w:bottom w:val="single" w:sz="3" w:color="E8E5DE"/>
                        </w:tcBorders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1B1B1B"/>
                            <w:sz w:val="15"/>
                          </w:rPr>
                          <w:t>Core prairie gold</w:t>
                        </w:r>
                      </w:p>
                    </w:tc>
                    <w:tc>
                      <w:tcPr>
                        <w:tcW w:type="dxa" w:w="2088"/>
                        <w:tcMar>
                          <w:top w:w="35" w:type="dxa"/>
                          <w:start w:w="45" w:type="dxa"/>
                          <w:bottom w:w="35" w:type="dxa"/>
                          <w:end w:w="45" w:type="dxa"/>
                        </w:tcMar>
                        <w:vAlign w:val="center"/>
                        <w:tcBorders>
                          <w:bottom w:val="single" w:sz="3" w:color="E8E5DE"/>
                        </w:tcBorders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1B1B1B"/>
                            <w:sz w:val="15"/>
                          </w:rPr>
                          <w:t>#B58A2C</w:t>
                        </w:r>
                        <w:r>
                          <w:rPr>
                            <w:rFonts w:ascii="Arial" w:hAnsi="Arial" w:eastAsia="Arial"/>
                            <w:b w:val="0"/>
                            <w:i w:val="0"/>
                            <w:color w:val="5C5C5C"/>
                            <w:sz w:val="13"/>
                          </w:rPr>
                          <w:t xml:space="preserve">  RGB 181, 138, 44</w:t>
                        </w:r>
                      </w:p>
                    </w:tc>
                  </w:tr>
                  <w:tr>
                    <w:tc>
                      <w:tcPr>
                        <w:tcW w:type="dxa" w:w="605"/>
                        <w:shd w:fill="F7F5F0"/>
                        <w:tcMar>
                          <w:top w:w="35" w:type="dxa"/>
                          <w:start w:w="35" w:type="dxa"/>
                          <w:bottom w:w="35" w:type="dxa"/>
                          <w:end w:w="35" w:type="dxa"/>
                        </w:tcMar>
                        <w:vAlign w:val="center"/>
                        <w:tcBorders>
                          <w:bottom w:val="single" w:sz="3" w:color="E8E5DE"/>
                        </w:tcBorders>
                      </w:tcPr>
                      <w:p/>
                    </w:tc>
                    <w:tc>
                      <w:tcPr>
                        <w:tcW w:type="dxa" w:w="2088"/>
                        <w:tcMar>
                          <w:top w:w="35" w:type="dxa"/>
                          <w:start w:w="75" w:type="dxa"/>
                          <w:bottom w:w="35" w:type="dxa"/>
                          <w:end w:w="45" w:type="dxa"/>
                        </w:tcMar>
                        <w:vAlign w:val="center"/>
                        <w:tcBorders>
                          <w:bottom w:val="single" w:sz="3" w:color="E8E5DE"/>
                        </w:tcBorders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1B1B1B"/>
                            <w:sz w:val="15"/>
                          </w:rPr>
                          <w:t>Warm white</w:t>
                        </w:r>
                      </w:p>
                    </w:tc>
                    <w:tc>
                      <w:tcPr>
                        <w:tcW w:type="dxa" w:w="2088"/>
                        <w:tcMar>
                          <w:top w:w="35" w:type="dxa"/>
                          <w:start w:w="45" w:type="dxa"/>
                          <w:bottom w:w="35" w:type="dxa"/>
                          <w:end w:w="45" w:type="dxa"/>
                        </w:tcMar>
                        <w:vAlign w:val="center"/>
                        <w:tcBorders>
                          <w:bottom w:val="single" w:sz="3" w:color="E8E5DE"/>
                        </w:tcBorders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1B1B1B"/>
                            <w:sz w:val="15"/>
                          </w:rPr>
                          <w:t>#F7F5F0</w:t>
                        </w:r>
                        <w:r>
                          <w:rPr>
                            <w:rFonts w:ascii="Arial" w:hAnsi="Arial" w:eastAsia="Arial"/>
                            <w:b w:val="0"/>
                            <w:i w:val="0"/>
                            <w:color w:val="5C5C5C"/>
                            <w:sz w:val="13"/>
                          </w:rPr>
                          <w:t xml:space="preserve">  RGB 247, 245, 240</w:t>
                        </w:r>
                      </w:p>
                    </w:tc>
                  </w:tr>
                  <w:tr>
                    <w:tc>
                      <w:tcPr>
                        <w:tcW w:type="dxa" w:w="605"/>
                        <w:shd w:fill="C9C5BD"/>
                        <w:tcMar>
                          <w:top w:w="35" w:type="dxa"/>
                          <w:start w:w="35" w:type="dxa"/>
                          <w:bottom w:w="35" w:type="dxa"/>
                          <w:end w:w="35" w:type="dxa"/>
                        </w:tcMar>
                        <w:vAlign w:val="center"/>
                        <w:tcBorders>
                          <w:bottom w:val="single" w:sz="3" w:color="E8E5DE"/>
                        </w:tcBorders>
                      </w:tcPr>
                      <w:p/>
                    </w:tc>
                    <w:tc>
                      <w:tcPr>
                        <w:tcW w:type="dxa" w:w="2088"/>
                        <w:tcMar>
                          <w:top w:w="35" w:type="dxa"/>
                          <w:start w:w="75" w:type="dxa"/>
                          <w:bottom w:w="35" w:type="dxa"/>
                          <w:end w:w="45" w:type="dxa"/>
                        </w:tcMar>
                        <w:vAlign w:val="center"/>
                        <w:tcBorders>
                          <w:bottom w:val="single" w:sz="3" w:color="E8E5DE"/>
                        </w:tcBorders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1B1B1B"/>
                            <w:sz w:val="15"/>
                          </w:rPr>
                          <w:t>Stone</w:t>
                        </w:r>
                      </w:p>
                    </w:tc>
                    <w:tc>
                      <w:tcPr>
                        <w:tcW w:type="dxa" w:w="2088"/>
                        <w:tcMar>
                          <w:top w:w="35" w:type="dxa"/>
                          <w:start w:w="45" w:type="dxa"/>
                          <w:bottom w:w="35" w:type="dxa"/>
                          <w:end w:w="45" w:type="dxa"/>
                        </w:tcMar>
                        <w:vAlign w:val="center"/>
                        <w:tcBorders>
                          <w:bottom w:val="single" w:sz="3" w:color="E8E5DE"/>
                        </w:tcBorders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1B1B1B"/>
                            <w:sz w:val="15"/>
                          </w:rPr>
                          <w:t>#C9C5BD</w:t>
                        </w:r>
                        <w:r>
                          <w:rPr>
                            <w:rFonts w:ascii="Arial" w:hAnsi="Arial" w:eastAsia="Arial"/>
                            <w:b w:val="0"/>
                            <w:i w:val="0"/>
                            <w:color w:val="5C5C5C"/>
                            <w:sz w:val="13"/>
                          </w:rPr>
                          <w:t xml:space="preserve">  RGB 201, 197, 189</w:t>
                        </w:r>
                      </w:p>
                    </w:tc>
                  </w:tr>
                </w:tbl>
                <w:p/>
                <w:p>
                  <w:pPr>
                    <w:spacing w:before="6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5"/>
                    </w:rPr>
                    <w:t xml:space="preserve">Core use: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5"/>
                    </w:rPr>
                    <w:t>black and white first; prairie gold for deliberate emphasis. On dark presentation slides, use bright gold headlines and white body text.</w:t>
                  </w:r>
                </w:p>
              </w:tc>
            </w:tr>
            <w:tr>
              <w:trPr/>
              <w:tc>
                <w:tcPr>
                  <w:tcW w:type="dxa" w:w="5515"/>
                  <w:shd w:fill="FFFFFF"/>
                  <w:tcMar>
                    <w:top w:w="105" w:type="dxa"/>
                    <w:start w:w="120" w:type="dxa"/>
                    <w:bottom w:w="105" w:type="dxa"/>
                    <w:end w:w="120" w:type="dxa"/>
                  </w:tcMar>
                  <w:tcBorders>
                    <w:top w:val="single" w:sz="5" w:color="C9C5BD"/>
                    <w:left w:val="single" w:sz="5" w:color="C9C5BD"/>
                    <w:bottom w:val="single" w:sz="5" w:color="C9C5BD"/>
                    <w:right w:val="single" w:sz="5" w:color="C9C5BD"/>
                  </w:tcBorders>
                  <w:vAlign w:val="top"/>
                </w:tcPr>
                <w:p>
                  <w:pPr>
                    <w:spacing w:before="0" w:after="8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B58A2C"/>
                      <w:sz w:val="16"/>
                    </w:rPr>
                    <w:t xml:space="preserve">06  </w:t>
                  </w: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9"/>
                    </w:rPr>
                    <w:t>TYPOGRAPHY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Headings and marketing: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Gilroy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Body, formal and operational: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Arial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Web fallback: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Manrope</w:t>
                  </w:r>
                </w:p>
                <w:p>
                  <w:pPr>
                    <w:spacing w:before="4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5C5C5C"/>
                      <w:sz w:val="15"/>
                    </w:rPr>
                    <w:t>Use a clear hierarchy, generous spacing and restrained emphasis. Arial Bold is the fallback only when Gilroy is unavailable.</w:t>
                  </w:r>
                </w:p>
              </w:tc>
            </w:tr>
            <w:tr>
              <w:trPr/>
              <w:tc>
                <w:tcPr>
                  <w:tcW w:type="dxa" w:w="5515"/>
                  <w:shd w:fill="F7F5F0"/>
                  <w:tcMar>
                    <w:top w:w="105" w:type="dxa"/>
                    <w:start w:w="120" w:type="dxa"/>
                    <w:bottom w:w="105" w:type="dxa"/>
                    <w:end w:w="120" w:type="dxa"/>
                  </w:tcMar>
                  <w:tcBorders>
                    <w:top w:val="single" w:sz="5" w:color="C9C5BD"/>
                    <w:left w:val="single" w:sz="5" w:color="C9C5BD"/>
                    <w:bottom w:val="single" w:sz="5" w:color="C9C5BD"/>
                    <w:right w:val="single" w:sz="5" w:color="C9C5BD"/>
                  </w:tcBorders>
                  <w:vAlign w:val="top"/>
                </w:tcPr>
                <w:p>
                  <w:pPr>
                    <w:spacing w:before="0" w:after="8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B58A2C"/>
                      <w:sz w:val="16"/>
                    </w:rPr>
                    <w:t xml:space="preserve">07  </w:t>
                  </w: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9"/>
                    </w:rPr>
                    <w:t>APPLICATION RULES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Formal documents and email signatures: primarily black and white.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Presentations: near-black background, bright gold headlines, white body text.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Marketing: gold is an accent, not a full-page default.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Use approved templates; do not recreate layouts from scratch.</w:t>
                  </w:r>
                </w:p>
              </w:tc>
            </w:tr>
            <w:tr>
              <w:tc>
                <w:tcPr>
                  <w:tcW w:type="dxa" w:w="5515"/>
                  <w:shd w:fill="FFFFFF"/>
                  <w:tcMar>
                    <w:top w:w="105" w:type="dxa"/>
                    <w:start w:w="120" w:type="dxa"/>
                    <w:bottom w:w="105" w:type="dxa"/>
                    <w:end w:w="120" w:type="dxa"/>
                  </w:tcMar>
                  <w:tcBorders>
                    <w:top w:val="single" w:sz="5" w:color="C9C5BD"/>
                    <w:left w:val="single" w:sz="5" w:color="C9C5BD"/>
                    <w:bottom w:val="single" w:sz="5" w:color="C9C5BD"/>
                    <w:right w:val="single" w:sz="5" w:color="C9C5BD"/>
                  </w:tcBorders>
                  <w:vAlign w:val="top"/>
                </w:tcPr>
                <w:p>
                  <w:pPr>
                    <w:spacing w:before="0" w:after="8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B58A2C"/>
                      <w:sz w:val="16"/>
                    </w:rPr>
                    <w:t xml:space="preserve">08  </w:t>
                  </w:r>
                  <w:r>
                    <w:rPr>
                      <w:rFonts w:ascii="Arial" w:hAnsi="Arial" w:eastAsia="Arial"/>
                      <w:b/>
                      <w:i w:val="0"/>
                      <w:color w:val="1B1B1B"/>
                      <w:sz w:val="19"/>
                    </w:rPr>
                    <w:t>FINAL RELEASE CHECK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B58A2C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Correct template, logo, fonts and colours.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B58A2C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Names, dates, facts, calculations and claims verified.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B58A2C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Client confidentiality, consent and professional review complete.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B58A2C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Accessible contrast, readable type and useful alt text.</w:t>
                  </w:r>
                </w:p>
                <w:p>
                  <w:pPr>
                    <w:pStyle w:val="BodySmall"/>
                    <w:spacing w:before="0" w:after="40" w:line="240" w:lineRule="auto"/>
                    <w:ind w:left="216" w:hanging="173"/>
                  </w:pPr>
                  <w:r>
                    <w:rPr>
                      <w:rFonts w:ascii="Arial" w:hAnsi="Arial" w:eastAsia="Arial"/>
                      <w:b/>
                      <w:i w:val="0"/>
                      <w:color w:val="B58A2C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B1B1B"/>
                      <w:sz w:val="17"/>
                    </w:rPr>
                    <w:t>Required approver has signed off.</w:t>
                  </w:r>
                </w:p>
              </w:tc>
            </w:tr>
          </w:tbl>
          <w:p/>
        </w:tc>
      </w:tr>
    </w:tbl>
    <w:p>
      <w:pPr>
        <w:spacing w:before="80" w:after="0" w:line="240" w:lineRule="auto"/>
        <w:jc w:val="center"/>
      </w:pPr>
      <w:r>
        <w:rPr>
          <w:rFonts w:ascii="Arial" w:hAnsi="Arial" w:eastAsia="Arial"/>
          <w:b w:val="0"/>
          <w:i/>
          <w:color w:val="5C5C5C"/>
          <w:sz w:val="14"/>
        </w:rPr>
        <w:t>This quick reference supports — but does not replace — the approved Janke LLP brand guide, standards and templates.</w:t>
      </w:r>
    </w:p>
    <w:sectPr w:rsidR="00FC693F" w:rsidRPr="0006063C" w:rsidSect="00034616">
      <w:pgSz w:w="12240" w:h="15840"/>
      <w:pgMar w:top="547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pPr>
      <w:spacing w:after="0" w:line="240" w:lineRule="auto"/>
    </w:pPr>
    <w:rPr>
      <w:rFonts w:ascii="Arial" w:hAnsi="Arial" w:eastAsia="Arial"/>
      <w:sz w:val="17"/>
    </w:rPr>
  </w:style>
  <w:style w:type="paragraph" w:customStyle="1" w:styleId="Micro">
    <w:name w:val="Micro"/>
    <w:pPr>
      <w:spacing w:after="0" w:line="240" w:lineRule="auto"/>
    </w:pPr>
    <w:rPr>
      <w:rFonts w:ascii="Arial" w:hAnsi="Arial" w:eastAsia="Arial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Janke LLP Brand Quick Reference</dc:title>
  <dc:subject>One-page staff brand guide</dc:subject>
  <dc:creator>Janke LLP</dc:creator>
  <cp:keywords>Janke LLP, brand, quick reference, typography, colour, voice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