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Gilroy" w:hAnsi="Gilroy"/>
          <w:b/>
          <w:color w:val="171717"/>
          <w:sz w:val="40"/>
        </w:rPr>
        <w:t>JANKE LLP</w:t>
      </w:r>
    </w:p>
    <w:p>
      <w:pPr>
        <w:spacing w:before="1900"/>
      </w:pPr>
      <w:r>
        <w:rPr>
          <w:rFonts w:ascii="Gilroy" w:hAnsi="Gilroy"/>
          <w:b/>
          <w:color w:val="171717"/>
          <w:sz w:val="60"/>
        </w:rPr>
        <w:t>Brand in Practice</w:t>
      </w:r>
    </w:p>
    <w:p>
      <w:r>
        <w:rPr>
          <w:rFonts w:ascii="Arial" w:hAnsi="Arial"/>
          <w:color w:val="6F6F6F"/>
          <w:sz w:val="28"/>
        </w:rPr>
        <w:t>Appendix and staff application guide</w:t>
      </w:r>
    </w:p>
    <w:p>
      <w:pPr>
        <w:pBdr>
          <w:bottom w:val="single" w:sz="18" w:space="1" w:color="B58A2C"/>
        </w:pBdr>
      </w:pPr>
    </w:p>
    <w:p>
      <w:pPr>
        <w:spacing w:before="360"/>
      </w:pPr>
      <w:r>
        <w:rPr>
          <w:rFonts w:ascii="Arial" w:hAnsi="Arial"/>
          <w:color w:val="171717"/>
          <w:sz w:val="24"/>
        </w:rPr>
        <w:t>A practical guide for applying the Janke LLP brand consistently in everyday 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5F0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r/>
            <w:r>
              <w:rPr>
                <w:rFonts w:ascii="Gilroy" w:hAnsi="Gilroy"/>
                <w:b/>
                <w:color w:val="B58A2C"/>
                <w:sz w:val="24"/>
              </w:rPr>
              <w:t>The working principle</w:t>
            </w:r>
          </w:p>
          <w:p>
            <w:r>
              <w:rPr>
                <w:rFonts w:ascii="Arial" w:hAnsi="Arial"/>
                <w:color w:val="171717"/>
                <w:sz w:val="22"/>
              </w:rPr>
              <w:t>Keep it simple. Make the advice clear. Use the brand to support the message, not compete with it.</w:t>
            </w:r>
          </w:p>
        </w:tc>
      </w:tr>
    </w:tbl>
    <w:p/>
    <w:p>
      <w:pPr>
        <w:jc w:val="right"/>
      </w:pPr>
      <w:r>
        <w:rPr>
          <w:rFonts w:ascii="Arial" w:hAnsi="Arial"/>
          <w:color w:val="6F6F6F"/>
          <w:sz w:val="18"/>
        </w:rPr>
        <w:t>Approved working appendix | Version 1</w:t>
      </w:r>
    </w:p>
    <w:p>
      <w:r>
        <w:br w:type="page"/>
      </w:r>
    </w:p>
    <w:p>
      <w:pPr>
        <w:pStyle w:val="Heading1"/>
        <w:keepNext/>
      </w:pPr>
      <w:r>
        <w:t>1. Brand application at a glance</w:t>
      </w:r>
    </w:p>
    <w:p>
      <w:pPr>
        <w:spacing w:after="160"/>
      </w:pPr>
      <w:r>
        <w:t>Use this appendix together with the full Janke LLP brand guide and approved templates. It does not replace technical, legal, privacy, or professional review requirements.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16"/>
      </w:tblGrid>
      <w:tr>
        <w:trPr>
          <w:tblHeader w:val="true"/>
        </w:trPr>
        <w:tc>
          <w:tcPr>
            <w:tcW w:type="dxa" w:w="50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171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50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171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APPROVED PRACTICE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5F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1717"/>
                <w:sz w:val="18"/>
              </w:rPr>
              <w:t>Brand character</w:t>
            </w:r>
          </w:p>
        </w:tc>
        <w:tc>
          <w:tcPr>
            <w:tcW w:type="dxa" w:w="74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1717"/>
                <w:sz w:val="18"/>
              </w:rPr>
              <w:t>Professional, clear, practical, confident, warm without being casual.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5F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1717"/>
                <w:sz w:val="18"/>
              </w:rPr>
              <w:t>Core visual system</w:t>
            </w:r>
          </w:p>
        </w:tc>
        <w:tc>
          <w:tcPr>
            <w:tcW w:type="dxa" w:w="74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1717"/>
                <w:sz w:val="18"/>
              </w:rPr>
              <w:t>Black, white, and prairie gold. Use gold selectively for emphasis, not decoration.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5F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1717"/>
                <w:sz w:val="18"/>
              </w:rPr>
              <w:t>Typography</w:t>
            </w:r>
          </w:p>
        </w:tc>
        <w:tc>
          <w:tcPr>
            <w:tcW w:type="dxa" w:w="74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1717"/>
                <w:sz w:val="18"/>
              </w:rPr>
              <w:t>Gilroy for marketing headings and presentation headlines; Arial for body copy, formal documents, email, tables, and operational materials.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5F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1717"/>
                <w:sz w:val="18"/>
              </w:rPr>
              <w:t>Supporting line</w:t>
            </w:r>
          </w:p>
        </w:tc>
        <w:tc>
          <w:tcPr>
            <w:tcW w:type="dxa" w:w="74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1717"/>
                <w:sz w:val="18"/>
              </w:rPr>
              <w:t>“Grounded advice. Grow better.” Use selectively and never lock it to the logo.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5F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1717"/>
                <w:sz w:val="18"/>
              </w:rPr>
              <w:t>Photography</w:t>
            </w:r>
          </w:p>
        </w:tc>
        <w:tc>
          <w:tcPr>
            <w:tcW w:type="dxa" w:w="74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1717"/>
                <w:sz w:val="18"/>
              </w:rPr>
              <w:t>Real people and Saskatchewan settings; polished but genuine; avoid generic corporate stock imagery.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5F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1717"/>
                <w:sz w:val="18"/>
              </w:rPr>
              <w:t>Default test</w:t>
            </w:r>
          </w:p>
        </w:tc>
        <w:tc>
          <w:tcPr>
            <w:tcW w:type="dxa" w:w="741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1717"/>
                <w:sz w:val="18"/>
              </w:rPr>
              <w:t>Can a client understand the point quickly, and does the design feel calm and credible?</w:t>
            </w:r>
          </w:p>
        </w:tc>
      </w:tr>
    </w:tbl>
    <w:p>
      <w:pPr>
        <w:pStyle w:val="Heading1"/>
        <w:keepNext/>
      </w:pPr>
      <w:r>
        <w:t>2. Documents and client communications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171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DO</w:t>
            </w:r>
          </w:p>
        </w:tc>
        <w:tc>
          <w:tcPr>
            <w:tcW w:type="dxa" w:w="50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E3D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1717"/>
                <w:sz w:val="20"/>
              </w:rPr>
              <w:t>DON'T</w:t>
            </w:r>
          </w:p>
        </w:tc>
      </w:tr>
      <w:tr>
        <w:tc>
          <w:tcPr>
            <w:tcW w:type="dxa" w:w="4824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pStyle w:val="ListBullet"/>
              <w:spacing w:after="60"/>
            </w:pPr>
            <w:r/>
            <w:r>
              <w:rPr>
                <w:rFonts w:ascii="Arial" w:hAnsi="Arial"/>
                <w:color w:val="171717"/>
                <w:sz w:val="19"/>
              </w:rPr>
              <w:t>Use the approved template for the document type.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Lead with the client’s decision, issue, or desired outcome.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clear headings, short paragraphs, and useful tables or callouts.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Keep formal letters and memos restrained and primarily black and white.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Check page breaks, numbering, headers, footers, and accessibility before release.</w:t>
            </w:r>
          </w:p>
        </w:tc>
        <w:tc>
          <w:tcPr>
            <w:tcW w:type="dxa" w:w="4824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pStyle w:val="ListBullet"/>
              <w:spacing w:after="60"/>
            </w:pPr>
            <w:r/>
            <w:r>
              <w:rPr>
                <w:rFonts w:ascii="Arial" w:hAnsi="Arial"/>
                <w:color w:val="171717"/>
                <w:sz w:val="19"/>
              </w:rPr>
              <w:t>Recreate layouts from scratch when an approved template exists.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decorative colours, gradients, or multiple accent colours.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Lead with technical detail before explaining why it matters.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Crowd pages with dense text or undersized type.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Publish without the required technical and engagement review.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Presentations</w:t>
      </w:r>
    </w:p>
    <w:p>
      <w:pPr>
        <w:spacing w:after="120"/>
      </w:pPr>
      <w:r>
        <w:t>The approved presentation system is designed for dark rooms and live discussion: black backgrounds, bright prairie-gold headlines, and white body copy.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171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DO</w:t>
            </w:r>
          </w:p>
        </w:tc>
        <w:tc>
          <w:tcPr>
            <w:tcW w:type="dxa" w:w="50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E3D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1717"/>
                <w:sz w:val="20"/>
              </w:rPr>
              <w:t>DON'T</w:t>
            </w:r>
          </w:p>
        </w:tc>
      </w:tr>
      <w:tr>
        <w:tc>
          <w:tcPr>
            <w:tcW w:type="dxa" w:w="4824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pStyle w:val="ListBullet"/>
              <w:spacing w:after="60"/>
            </w:pPr>
            <w:r/>
            <w:r>
              <w:rPr>
                <w:rFonts w:ascii="Arial" w:hAnsi="Arial"/>
                <w:color w:val="171717"/>
                <w:sz w:val="19"/>
              </w:rPr>
              <w:t>Use black as the primary slide background.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prairie gold for headlines, key numbers, section markers, and selected icons.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white for body text and supporting explanations.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Keep each slide focused on one idea or decision.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Gilroy headings and Arial body text.</w:t>
            </w:r>
          </w:p>
        </w:tc>
        <w:tc>
          <w:tcPr>
            <w:tcW w:type="dxa" w:w="4824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pStyle w:val="ListBullet"/>
              <w:spacing w:after="60"/>
            </w:pPr>
            <w:r/>
            <w:r>
              <w:rPr>
                <w:rFonts w:ascii="Arial" w:hAnsi="Arial"/>
                <w:color w:val="171717"/>
                <w:sz w:val="19"/>
              </w:rPr>
              <w:t>Use gold for long paragraphs or small body text.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Fill every slide with charts, boxes, and decorative lines.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white-background slides as the default in a dark presentation room.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unapproved fonts, teal, or competing accent colours.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Shrink text to fit an overcrowded slide.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Email and 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171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DO</w:t>
            </w:r>
          </w:p>
        </w:tc>
        <w:tc>
          <w:tcPr>
            <w:tcW w:type="dxa" w:w="50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E3D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1717"/>
                <w:sz w:val="20"/>
              </w:rPr>
              <w:t>DON'T</w:t>
            </w:r>
          </w:p>
        </w:tc>
      </w:tr>
      <w:tr>
        <w:tc>
          <w:tcPr>
            <w:tcW w:type="dxa" w:w="4824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pStyle w:val="ListBullet"/>
              <w:spacing w:after="60"/>
            </w:pPr>
            <w:r/>
            <w:r>
              <w:rPr>
                <w:rFonts w:ascii="Arial" w:hAnsi="Arial"/>
                <w:color w:val="171717"/>
                <w:sz w:val="19"/>
              </w:rPr>
              <w:t>Use Arial for email body text.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Keep the signature black and white for consistent rendering.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the full signature on new messages and the compact version on replies where appropriate.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Provide text-based contact information even when a logo is included.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Test desktop, mobile, dark mode, and image-blocked views.</w:t>
            </w:r>
          </w:p>
        </w:tc>
        <w:tc>
          <w:tcPr>
            <w:tcW w:type="dxa" w:w="4824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pStyle w:val="ListBullet"/>
              <w:spacing w:after="60"/>
            </w:pPr>
            <w:r/>
            <w:r>
              <w:rPr>
                <w:rFonts w:ascii="Arial" w:hAnsi="Arial"/>
                <w:color w:val="171717"/>
                <w:sz w:val="19"/>
              </w:rPr>
              <w:t>Use prairie gold, coloured backgrounds, social icons, awards, quotations, or promotional banners in the signature.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oversized logos or image-only signatures.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Change type sizes or spacing independently by employee.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decorative email stationery.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Rely on an image to communicate essential contact information.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Social media and marketing content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171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DO</w:t>
            </w:r>
          </w:p>
        </w:tc>
        <w:tc>
          <w:tcPr>
            <w:tcW w:type="dxa" w:w="50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E3D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1717"/>
                <w:sz w:val="20"/>
              </w:rPr>
              <w:t>DON'T</w:t>
            </w:r>
          </w:p>
        </w:tc>
      </w:tr>
      <w:tr>
        <w:tc>
          <w:tcPr>
            <w:tcW w:type="dxa" w:w="4824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pStyle w:val="ListBullet"/>
              <w:spacing w:after="60"/>
            </w:pPr>
            <w:r/>
            <w:r>
              <w:rPr>
                <w:rFonts w:ascii="Arial" w:hAnsi="Arial"/>
                <w:color w:val="171717"/>
                <w:sz w:val="19"/>
              </w:rPr>
              <w:t>Start with a useful idea, question, opportunity, or client-relevant insight.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plain language and a clear call to action.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prairie gold as a restrained accent with black and white.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Write alt text for meaningful visuals.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Obtain technical, privacy, and consent review where required.</w:t>
            </w:r>
          </w:p>
        </w:tc>
        <w:tc>
          <w:tcPr>
            <w:tcW w:type="dxa" w:w="4824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pStyle w:val="ListBullet"/>
              <w:spacing w:after="60"/>
            </w:pPr>
            <w:r/>
            <w:r>
              <w:rPr>
                <w:rFonts w:ascii="Arial" w:hAnsi="Arial"/>
                <w:color w:val="171717"/>
                <w:sz w:val="19"/>
              </w:rPr>
              <w:t>Publish generic motivational content with no connection to client needs.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fear-based, exaggerated, or guaranteed-result language.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Overload posts with hashtags, logos, or competing messages.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client details or quotations without project-specific permission.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Publish AI-generated content without human review.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Photography and imagery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171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DO</w:t>
            </w:r>
          </w:p>
        </w:tc>
        <w:tc>
          <w:tcPr>
            <w:tcW w:type="dxa" w:w="50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E3D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1717"/>
                <w:sz w:val="20"/>
              </w:rPr>
              <w:t>DON'T</w:t>
            </w:r>
          </w:p>
        </w:tc>
      </w:tr>
      <w:tr>
        <w:tc>
          <w:tcPr>
            <w:tcW w:type="dxa" w:w="4824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pStyle w:val="ListBullet"/>
              <w:spacing w:after="60"/>
            </w:pPr>
            <w:r/>
            <w:r>
              <w:rPr>
                <w:rFonts w:ascii="Arial" w:hAnsi="Arial"/>
                <w:color w:val="171717"/>
                <w:sz w:val="19"/>
              </w:rPr>
              <w:t>Prefer real Janke LLP people, clients with consent, and recognizable Saskatchewan settings.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Choose images with natural light, genuine interaction, and practical context.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photographs that reinforce the message rather than simply fill space.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Keep crops clean and leave room for text when needed.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Confirm usage rights and consent records.</w:t>
            </w:r>
          </w:p>
        </w:tc>
        <w:tc>
          <w:tcPr>
            <w:tcW w:type="dxa" w:w="4824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pStyle w:val="ListBullet"/>
              <w:spacing w:after="60"/>
            </w:pPr>
            <w:r/>
            <w:r>
              <w:rPr>
                <w:rFonts w:ascii="Arial" w:hAnsi="Arial"/>
                <w:color w:val="171717"/>
                <w:sz w:val="19"/>
              </w:rPr>
              <w:t>Use staged handshakes, generic skyscrapers, or anonymous boardroom stock images.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Apply heavy filters or trendy effects.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agricultural imagery on every piece merely because the firm serves agriculture.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Place text over busy areas with poor contrast.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identifiable client or employee images without approval.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Testimonials and case studies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171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DO</w:t>
            </w:r>
          </w:p>
        </w:tc>
        <w:tc>
          <w:tcPr>
            <w:tcW w:type="dxa" w:w="50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E3D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1717"/>
                <w:sz w:val="20"/>
              </w:rPr>
              <w:t>DON'T</w:t>
            </w:r>
          </w:p>
        </w:tc>
      </w:tr>
      <w:tr>
        <w:tc>
          <w:tcPr>
            <w:tcW w:type="dxa" w:w="4824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pStyle w:val="ListBullet"/>
              <w:spacing w:after="60"/>
            </w:pPr>
            <w:r/>
            <w:r>
              <w:rPr>
                <w:rFonts w:ascii="Arial" w:hAnsi="Arial"/>
                <w:color w:val="171717"/>
                <w:sz w:val="19"/>
              </w:rPr>
              <w:t>Use project-specific written consent.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Confirm all facts, metrics, names, titles, and quotations with the client.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Edit quotations only lightly for clarity and obtain final client approval.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Explain the challenge, approach, result, and practical client impact.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anonymization only where the story remains truthful and useful.</w:t>
            </w:r>
          </w:p>
        </w:tc>
        <w:tc>
          <w:tcPr>
            <w:tcW w:type="dxa" w:w="4824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pStyle w:val="ListBullet"/>
              <w:spacing w:after="60"/>
            </w:pPr>
            <w:r/>
            <w:r>
              <w:rPr>
                <w:rFonts w:ascii="Arial" w:hAnsi="Arial"/>
                <w:color w:val="171717"/>
                <w:sz w:val="19"/>
              </w:rPr>
              <w:t>Assume a general relationship permits publication.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Invent or combine client outcomes without clearly identifying a composite story.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Overstate causation, savings, growth, or certainty.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confidential details to make the story more compelling.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Publish before the final approval record is complete.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AI-assisted content</w:t>
      </w:r>
    </w:p>
    <w:p>
      <w:pPr>
        <w:spacing w:after="120"/>
      </w:pPr>
      <w:r>
        <w:t>AI may assist with ideation, structure, first drafts, formatting, and adaptation. Responsibility for accuracy, confidentiality, professional judgment, tone, and approval remains with Janke LLP.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0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171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DO</w:t>
            </w:r>
          </w:p>
        </w:tc>
        <w:tc>
          <w:tcPr>
            <w:tcW w:type="dxa" w:w="50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E3D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1717"/>
                <w:sz w:val="20"/>
              </w:rPr>
              <w:t>DON'T</w:t>
            </w:r>
          </w:p>
        </w:tc>
      </w:tr>
      <w:tr>
        <w:tc>
          <w:tcPr>
            <w:tcW w:type="dxa" w:w="4824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pStyle w:val="ListBullet"/>
              <w:spacing w:after="60"/>
            </w:pPr>
            <w:r/>
            <w:r>
              <w:rPr>
                <w:rFonts w:ascii="Arial" w:hAnsi="Arial"/>
                <w:color w:val="171717"/>
                <w:sz w:val="19"/>
              </w:rPr>
              <w:t>Use approved, non-confidential inputs.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Check every technical claim and citation.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Rewrite for Janke LLP voice and the specific audience.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Remove generic phrasing, repetition, and unsupported certainty.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Complete the normal approval process.</w:t>
            </w:r>
          </w:p>
        </w:tc>
        <w:tc>
          <w:tcPr>
            <w:tcW w:type="dxa" w:w="4824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pPr>
              <w:pStyle w:val="ListBullet"/>
              <w:spacing w:after="60"/>
            </w:pPr>
            <w:r/>
            <w:r>
              <w:rPr>
                <w:rFonts w:ascii="Arial" w:hAnsi="Arial"/>
                <w:color w:val="171717"/>
                <w:sz w:val="19"/>
              </w:rPr>
              <w:t>Enter client-confidential information into an unapproved tool.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Publish generated text without review.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Allow AI to make professional judgments or final recommendations.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Use invented sources, quotations, metrics, or client examples.</w:t>
            </w:r>
          </w:p>
          <w:p>
            <w:pPr>
              <w:pStyle w:val="ListBullet"/>
              <w:spacing w:after="60"/>
            </w:pPr>
            <w:r>
              <w:rPr>
                <w:rFonts w:ascii="Arial" w:hAnsi="Arial"/>
                <w:color w:val="171717"/>
                <w:sz w:val="19"/>
              </w:rPr>
              <w:t>Disclose internal prompts, drafts, or review notes to clients.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Common brand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552"/>
      </w:tblGrid>
      <w:tr>
        <w:trPr>
          <w:tblHeader w:val="true"/>
        </w:trPr>
        <w:tc>
          <w:tcPr>
            <w:tcW w:type="dxa" w:w="50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171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504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17171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APPROVED ANSWER</w:t>
            </w:r>
          </w:p>
        </w:tc>
      </w:tr>
      <w:tr>
        <w:tc>
          <w:tcPr>
            <w:tcW w:type="dxa" w:w="30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5F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1717"/>
                <w:sz w:val="18"/>
              </w:rPr>
              <w:t>Should the logo appear?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1717"/>
                <w:sz w:val="18"/>
              </w:rPr>
              <w:t>Use it where it aids identification. Do not repeat it on every page or attach extra wording to it.</w:t>
            </w:r>
          </w:p>
        </w:tc>
      </w:tr>
      <w:tr>
        <w:tc>
          <w:tcPr>
            <w:tcW w:type="dxa" w:w="30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5F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1717"/>
                <w:sz w:val="18"/>
              </w:rPr>
              <w:t>Should prairie gold appear?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1717"/>
                <w:sz w:val="18"/>
              </w:rPr>
              <w:t>Use it for selective emphasis in marketing and presentations. Formal documents and email signatures may remain black and white.</w:t>
            </w:r>
          </w:p>
        </w:tc>
      </w:tr>
      <w:tr>
        <w:tc>
          <w:tcPr>
            <w:tcW w:type="dxa" w:w="30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5F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1717"/>
                <w:sz w:val="18"/>
              </w:rPr>
              <w:t>Can the supporting line be used?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1717"/>
                <w:sz w:val="18"/>
              </w:rPr>
              <w:t>Yes, selectively. Do not use it in formal letters, every social post, every slide, or the email signature.</w:t>
            </w:r>
          </w:p>
        </w:tc>
      </w:tr>
      <w:tr>
        <w:tc>
          <w:tcPr>
            <w:tcW w:type="dxa" w:w="30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5F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1717"/>
                <w:sz w:val="18"/>
              </w:rPr>
              <w:t>Can a template be modified?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1717"/>
                <w:sz w:val="18"/>
              </w:rPr>
              <w:t>Content fields may be adapted. Structural or visual changes should be approved before the modified version becomes reusable.</w:t>
            </w:r>
          </w:p>
        </w:tc>
      </w:tr>
      <w:tr>
        <w:tc>
          <w:tcPr>
            <w:tcW w:type="dxa" w:w="30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5F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1717"/>
                <w:sz w:val="18"/>
              </w:rPr>
              <w:t>Can a staff member use a different font?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1717"/>
                <w:sz w:val="18"/>
              </w:rPr>
              <w:t>No. Use Gilroy and Arial according to the approved hierarchy. Manrope is the approved web fallback.</w:t>
            </w:r>
          </w:p>
        </w:tc>
      </w:tr>
      <w:tr>
        <w:tc>
          <w:tcPr>
            <w:tcW w:type="dxa" w:w="30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7F5F0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71717"/>
                <w:sz w:val="18"/>
              </w:rPr>
              <w:t>When is consent needed?</w:t>
            </w:r>
          </w:p>
        </w:tc>
        <w:tc>
          <w:tcPr>
            <w:tcW w:type="dxa" w:w="655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1717"/>
                <w:sz w:val="18"/>
              </w:rPr>
              <w:t>Whenever an identifiable client, testimonial, case study, photograph, or client-specific outcome will be published.</w:t>
            </w:r>
          </w:p>
        </w:tc>
      </w:tr>
    </w:tbl>
    <w:p>
      <w:pPr>
        <w:pStyle w:val="Heading1"/>
        <w:keepNext/>
      </w:pPr>
      <w:r>
        <w:t>10. Final brand check</w:t>
      </w:r>
    </w:p>
    <w:p>
      <w:pPr>
        <w:pStyle w:val="ListBullet"/>
      </w:pPr>
      <w:r>
        <w:rPr>
          <w:rFonts w:ascii="Arial" w:hAnsi="Arial"/>
          <w:sz w:val="21"/>
        </w:rPr>
        <w:t>Is the client or audience need clear within the first few seconds?</w:t>
      </w:r>
    </w:p>
    <w:p>
      <w:pPr>
        <w:pStyle w:val="ListBullet"/>
      </w:pPr>
      <w:r>
        <w:rPr>
          <w:rFonts w:ascii="Arial" w:hAnsi="Arial"/>
          <w:sz w:val="21"/>
        </w:rPr>
        <w:t>Is the content accurate, useful, and proportionate to the context?</w:t>
      </w:r>
    </w:p>
    <w:p>
      <w:pPr>
        <w:pStyle w:val="ListBullet"/>
      </w:pPr>
      <w:r>
        <w:rPr>
          <w:rFonts w:ascii="Arial" w:hAnsi="Arial"/>
          <w:sz w:val="21"/>
        </w:rPr>
        <w:t>Does the piece use an approved template and typography system?</w:t>
      </w:r>
    </w:p>
    <w:p>
      <w:pPr>
        <w:pStyle w:val="ListBullet"/>
      </w:pPr>
      <w:r>
        <w:rPr>
          <w:rFonts w:ascii="Arial" w:hAnsi="Arial"/>
          <w:sz w:val="21"/>
        </w:rPr>
        <w:t>Are black, white, and prairie gold used consistently and with sufficient contrast?</w:t>
      </w:r>
    </w:p>
    <w:p>
      <w:pPr>
        <w:pStyle w:val="ListBullet"/>
      </w:pPr>
      <w:r>
        <w:rPr>
          <w:rFonts w:ascii="Arial" w:hAnsi="Arial"/>
          <w:sz w:val="21"/>
        </w:rPr>
        <w:t>Is prairie gold reserved for emphasis rather than long-form reading?</w:t>
      </w:r>
    </w:p>
    <w:p>
      <w:pPr>
        <w:pStyle w:val="ListBullet"/>
      </w:pPr>
      <w:r>
        <w:rPr>
          <w:rFonts w:ascii="Arial" w:hAnsi="Arial"/>
          <w:sz w:val="21"/>
        </w:rPr>
        <w:t>Are photography, testimonials, and client details properly approved?</w:t>
      </w:r>
    </w:p>
    <w:p>
      <w:pPr>
        <w:pStyle w:val="ListBullet"/>
      </w:pPr>
      <w:r>
        <w:rPr>
          <w:rFonts w:ascii="Arial" w:hAnsi="Arial"/>
          <w:sz w:val="21"/>
        </w:rPr>
        <w:t>Has accessibility been checked, including readable type, contrast, and alt text?</w:t>
      </w:r>
    </w:p>
    <w:p>
      <w:pPr>
        <w:pStyle w:val="ListBullet"/>
      </w:pPr>
      <w:r>
        <w:rPr>
          <w:rFonts w:ascii="Arial" w:hAnsi="Arial"/>
          <w:sz w:val="21"/>
        </w:rPr>
        <w:t>Has the correct technical, privacy, engagement, and brand approval occurred?</w:t>
      </w:r>
    </w:p>
    <w:p>
      <w:pPr>
        <w:pStyle w:val="ListBullet"/>
      </w:pPr>
      <w:r>
        <w:rPr>
          <w:rFonts w:ascii="Arial" w:hAnsi="Arial"/>
          <w:sz w:val="21"/>
        </w:rPr>
        <w:t>Does the final piece feel simple, confident, and recognizably Janke LLP?</w:t>
      </w:r>
    </w:p>
    <w:p>
      <w:pPr>
        <w:pBdr>
          <w:bottom w:val="single" w:sz="8" w:space="1" w:color="171717"/>
        </w:pBdr>
      </w:pPr>
    </w:p>
    <w:p>
      <w:pPr>
        <w:jc w:val="center"/>
      </w:pPr>
      <w:r>
        <w:rPr>
          <w:rFonts w:ascii="Gilroy" w:hAnsi="Gilroy"/>
          <w:b/>
          <w:color w:val="B58A2C"/>
          <w:sz w:val="24"/>
        </w:rPr>
        <w:t>When in doubt: simplify the design, clarify the message, and use the approved template.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6F6F"/>
        <w:sz w:val="16"/>
      </w:rPr>
      <w:t>Janke LLP | Brand in Practice | Internal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17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Gilroy" w:hAnsi="Gilroy"/>
      <w:b/>
      <w:bCs/>
      <w:color w:val="17171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Gilroy" w:hAnsi="Gilroy"/>
      <w:b/>
      <w:bCs/>
      <w:color w:val="B58A2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Gilroy" w:hAnsi="Gilroy"/>
      <w:b/>
      <w:bCs/>
      <w:color w:val="17171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ilroy" w:hAnsi="Gilroy"/>
      <w:b/>
      <w:color w:val="17171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Gilroy" w:hAnsi="Gilroy"/>
      <w:b/>
      <w:i/>
      <w:iCs/>
      <w:color w:val="6F6F6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Janke LLP Brand in Practice Appendix</dc:title>
  <dc:subject>Practical application guide for the Janke LLP brand</dc:subject>
  <dc:creator>Janke LLP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