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rPr>
          <w:rFonts w:ascii="Gilroy" w:hAnsi="Gilroy" w:eastAsia="Gilroy"/>
          <w:b/>
          <w:i w:val="0"/>
          <w:color w:val="111111"/>
          <w:sz w:val="36"/>
        </w:rPr>
        <w:t>JANKE LLP</w:t>
      </w:r>
    </w:p>
    <w:p>
      <w:pPr>
        <w:spacing w:after="200"/>
        <w:jc w:val="right"/>
      </w:pPr>
      <w:r>
        <w:rPr>
          <w:rFonts w:ascii="Arial" w:hAnsi="Arial" w:eastAsia="Arial"/>
          <w:b w:val="0"/>
          <w:i w:val="0"/>
          <w:color w:val="111111"/>
          <w:sz w:val="15"/>
        </w:rPr>
        <w:t>PROFESSIONAL ACCOUNTANTS</w:t>
      </w:r>
    </w:p>
    <w:p>
      <w:pPr>
        <w:spacing w:after="40"/>
      </w:pPr>
      <w:r>
        <w:rPr>
          <w:rFonts w:ascii="Gilroy" w:hAnsi="Gilroy" w:eastAsia="Gilroy"/>
          <w:b/>
          <w:i w:val="0"/>
          <w:color w:val="111111"/>
          <w:sz w:val="50"/>
        </w:rPr>
        <w:t>TEMPLATE COLOUR AUDIT</w:t>
      </w:r>
    </w:p>
    <w:p>
      <w:pPr>
        <w:spacing w:after="200"/>
      </w:pPr>
      <w:r>
        <w:rPr>
          <w:rFonts w:ascii="Arial" w:hAnsi="Arial" w:eastAsia="Arial"/>
          <w:b/>
          <w:i w:val="0"/>
          <w:color w:val="B58A2C"/>
          <w:sz w:val="23"/>
        </w:rPr>
        <w:t>Approved files reviewed against the consolidated Janke LLP brand system</w:t>
      </w:r>
    </w:p>
    <w:p>
      <w:pPr>
        <w:spacing w:after="200"/>
        <w:pBdr>
          <w:bottom w:val="single" w:sz="18" w:space="1" w:color="B58A2C"/>
        </w:pBdr>
      </w:pPr>
    </w:p>
    <w:p>
      <w:pPr>
        <w:keepNext/>
        <w:spacing w:before="0" w:after="120"/>
      </w:pPr>
      <w:r>
        <w:rPr>
          <w:rFonts w:ascii="Gilroy" w:hAnsi="Gilroy" w:eastAsia="Gilroy"/>
          <w:b/>
          <w:i w:val="0"/>
          <w:color w:val="111111"/>
          <w:sz w:val="36"/>
        </w:rPr>
        <w:t>Audit conclusion</w:t>
      </w:r>
    </w:p>
    <w:p>
      <w:pPr>
        <w:spacing w:before="0" w:after="120" w:line="276" w:lineRule="auto"/>
      </w:pPr>
      <w:r>
        <w:rPr>
          <w:rFonts w:ascii="Arial" w:hAnsi="Arial" w:eastAsia="Arial"/>
          <w:b w:val="0"/>
          <w:i w:val="0"/>
          <w:color w:val="111111"/>
          <w:sz w:val="21"/>
        </w:rPr>
        <w:t>The formal correspondence and final presentation materials are largely aligned. The main remaining issue is not the approved structure of the templates, but the presence of legacy teal and sage references in several standards and visible teal/sage styling in a smaller group of marketing and advisory templates.</w:t>
      </w:r>
    </w:p>
    <w:tbl>
      <w:tblPr>
        <w:tblW w:type="auto" w:w="0"/>
        <w:jc w:val="center"/>
        <w:tblLayout w:type="fixed"/>
        <w:tblLook w:firstColumn="1" w:firstRow="1" w:lastColumn="0" w:lastRow="0" w:noHBand="0" w:noVBand="1" w:val="04A0"/>
      </w:tblPr>
      <w:tblGrid>
        <w:gridCol w:w="3240"/>
        <w:gridCol w:w="3240"/>
        <w:gridCol w:w="3240"/>
      </w:tblGrid>
      <w:tr>
        <w:tc>
          <w:tcPr>
            <w:tcW w:type="dxa" w:w="3427"/>
            <w:shd w:fill="111111"/>
            <w:tcMar>
              <w:top w:w="150" w:type="dxa"/>
              <w:start w:w="130" w:type="dxa"/>
              <w:bottom w:w="150" w:type="dxa"/>
              <w:end w:w="130" w:type="dxa"/>
            </w:tcMar>
          </w:tcPr>
          <w:p>
            <w:pPr>
              <w:jc w:val="center"/>
            </w:pPr>
            <w:r>
              <w:rPr>
                <w:rFonts w:ascii="Gilroy" w:hAnsi="Gilroy" w:eastAsia="Gilroy"/>
                <w:b/>
                <w:i w:val="0"/>
                <w:color w:val="FFFFFF"/>
                <w:sz w:val="44"/>
              </w:rPr>
              <w:t>11</w:t>
            </w:r>
          </w:p>
          <w:p>
            <w:pPr>
              <w:spacing w:after="20"/>
              <w:jc w:val="center"/>
            </w:pPr>
            <w:r>
              <w:rPr>
                <w:rFonts w:ascii="Arial" w:hAnsi="Arial" w:eastAsia="Arial"/>
                <w:b/>
                <w:i w:val="0"/>
                <w:color w:val="FFFFFF"/>
                <w:sz w:val="20"/>
              </w:rPr>
              <w:t>Aligned</w:t>
            </w:r>
          </w:p>
          <w:p>
            <w:pPr>
              <w:spacing w:after="0"/>
              <w:jc w:val="center"/>
            </w:pPr>
            <w:r>
              <w:rPr>
                <w:rFonts w:ascii="Arial" w:hAnsi="Arial" w:eastAsia="Arial"/>
                <w:b w:val="0"/>
                <w:i w:val="0"/>
                <w:color w:val="FFFFFF"/>
                <w:sz w:val="16"/>
              </w:rPr>
              <w:t>No material palette change</w:t>
            </w:r>
          </w:p>
        </w:tc>
        <w:tc>
          <w:tcPr>
            <w:tcW w:type="dxa" w:w="3427"/>
            <w:shd w:fill="F7F5F0"/>
            <w:tcMar>
              <w:top w:w="150" w:type="dxa"/>
              <w:start w:w="130" w:type="dxa"/>
              <w:bottom w:w="150" w:type="dxa"/>
              <w:end w:w="130" w:type="dxa"/>
            </w:tcMar>
          </w:tcPr>
          <w:p>
            <w:pPr>
              <w:jc w:val="center"/>
            </w:pPr>
            <w:r>
              <w:rPr>
                <w:rFonts w:ascii="Gilroy" w:hAnsi="Gilroy" w:eastAsia="Gilroy"/>
                <w:b/>
                <w:i w:val="0"/>
                <w:color w:val="111111"/>
                <w:sz w:val="44"/>
              </w:rPr>
              <w:t>9</w:t>
            </w:r>
          </w:p>
          <w:p>
            <w:pPr>
              <w:spacing w:after="20"/>
              <w:jc w:val="center"/>
            </w:pPr>
            <w:r>
              <w:rPr>
                <w:rFonts w:ascii="Arial" w:hAnsi="Arial" w:eastAsia="Arial"/>
                <w:b/>
                <w:i w:val="0"/>
                <w:color w:val="111111"/>
                <w:sz w:val="20"/>
              </w:rPr>
              <w:t>Content update</w:t>
            </w:r>
          </w:p>
          <w:p>
            <w:pPr>
              <w:spacing w:after="0"/>
              <w:jc w:val="center"/>
            </w:pPr>
            <w:r>
              <w:rPr>
                <w:rFonts w:ascii="Arial" w:hAnsi="Arial" w:eastAsia="Arial"/>
                <w:b w:val="0"/>
                <w:i w:val="0"/>
                <w:color w:val="444444"/>
                <w:sz w:val="16"/>
              </w:rPr>
              <w:t>Terminology or guidance only</w:t>
            </w:r>
          </w:p>
        </w:tc>
        <w:tc>
          <w:tcPr>
            <w:tcW w:type="dxa" w:w="3427"/>
            <w:shd w:fill="B58A2C"/>
            <w:tcMar>
              <w:top w:w="150" w:type="dxa"/>
              <w:start w:w="130" w:type="dxa"/>
              <w:bottom w:w="150" w:type="dxa"/>
              <w:end w:w="130" w:type="dxa"/>
            </w:tcMar>
          </w:tcPr>
          <w:p>
            <w:pPr>
              <w:jc w:val="center"/>
            </w:pPr>
            <w:r>
              <w:rPr>
                <w:rFonts w:ascii="Gilroy" w:hAnsi="Gilroy" w:eastAsia="Gilroy"/>
                <w:b/>
                <w:i w:val="0"/>
                <w:color w:val="FFFFFF"/>
                <w:sz w:val="44"/>
              </w:rPr>
              <w:t>7</w:t>
            </w:r>
          </w:p>
          <w:p>
            <w:pPr>
              <w:spacing w:after="20"/>
              <w:jc w:val="center"/>
            </w:pPr>
            <w:r>
              <w:rPr>
                <w:rFonts w:ascii="Arial" w:hAnsi="Arial" w:eastAsia="Arial"/>
                <w:b/>
                <w:i w:val="0"/>
                <w:color w:val="FFFFFF"/>
                <w:sz w:val="20"/>
              </w:rPr>
              <w:t>Design refresh</w:t>
            </w:r>
          </w:p>
          <w:p>
            <w:pPr>
              <w:spacing w:after="0"/>
              <w:jc w:val="center"/>
            </w:pPr>
            <w:r>
              <w:rPr>
                <w:rFonts w:ascii="Arial" w:hAnsi="Arial" w:eastAsia="Arial"/>
                <w:b w:val="0"/>
                <w:i w:val="0"/>
                <w:color w:val="FFFFFF"/>
                <w:sz w:val="16"/>
              </w:rPr>
              <w:t>Visible legacy styling</w:t>
            </w:r>
          </w:p>
        </w:tc>
      </w:tr>
    </w:tbl>
    <w:p>
      <w:pPr>
        <w:spacing w:after="40"/>
      </w:pPr>
    </w:p>
    <w:p>
      <w:pPr>
        <w:keepNext/>
        <w:spacing w:before="80" w:after="120"/>
      </w:pPr>
      <w:r>
        <w:rPr>
          <w:rFonts w:ascii="Gilroy" w:hAnsi="Gilroy" w:eastAsia="Gilroy"/>
          <w:b/>
          <w:i w:val="0"/>
          <w:color w:val="B58A2C"/>
          <w:sz w:val="27"/>
        </w:rPr>
        <w:t>Final palette used for this audit</w:t>
      </w:r>
    </w:p>
    <w:p>
      <w:pPr>
        <w:pStyle w:val="ListBullet"/>
        <w:spacing w:after="50" w:line="252" w:lineRule="auto"/>
        <w:ind w:left="317" w:hanging="202"/>
      </w:pPr>
      <w:r>
        <w:rPr>
          <w:rFonts w:ascii="Arial" w:hAnsi="Arial" w:eastAsia="Arial"/>
          <w:b w:val="0"/>
          <w:i w:val="0"/>
          <w:color w:val="111111"/>
          <w:sz w:val="20"/>
        </w:rPr>
        <w:t>Near-black #111111 and white #FFFFFF remain the dominant system.</w:t>
      </w:r>
    </w:p>
    <w:p>
      <w:pPr>
        <w:pStyle w:val="ListBullet"/>
        <w:spacing w:after="50" w:line="252" w:lineRule="auto"/>
        <w:ind w:left="317" w:hanging="202"/>
      </w:pPr>
      <w:r>
        <w:rPr>
          <w:rFonts w:ascii="Arial" w:hAnsi="Arial" w:eastAsia="Arial"/>
          <w:b w:val="0"/>
          <w:i w:val="0"/>
          <w:color w:val="111111"/>
          <w:sz w:val="20"/>
        </w:rPr>
        <w:t>Core Prairie Gold #B58A2C is the restrained accent for rules, markers, icons and selected emphasis.</w:t>
      </w:r>
    </w:p>
    <w:p>
      <w:pPr>
        <w:pStyle w:val="ListBullet"/>
        <w:spacing w:after="50" w:line="252" w:lineRule="auto"/>
        <w:ind w:left="317" w:hanging="202"/>
      </w:pPr>
      <w:r>
        <w:rPr>
          <w:rFonts w:ascii="Arial" w:hAnsi="Arial" w:eastAsia="Arial"/>
          <w:b w:val="0"/>
          <w:i w:val="0"/>
          <w:color w:val="111111"/>
          <w:sz w:val="20"/>
        </w:rPr>
        <w:t>Bright Prairie Gold #D4A842 is reserved for headlines and key emphasis on black backgrounds.</w:t>
      </w:r>
    </w:p>
    <w:p>
      <w:pPr>
        <w:pStyle w:val="ListBullet"/>
        <w:spacing w:after="50" w:line="252" w:lineRule="auto"/>
        <w:ind w:left="317" w:hanging="202"/>
      </w:pPr>
      <w:r>
        <w:rPr>
          <w:rFonts w:ascii="Arial" w:hAnsi="Arial" w:eastAsia="Arial"/>
          <w:b w:val="0"/>
          <w:i w:val="0"/>
          <w:color w:val="111111"/>
          <w:sz w:val="20"/>
        </w:rPr>
        <w:t>Warm white #F7F5F0 and stone #C9C5BD may support layout without becoming dominant.</w:t>
      </w:r>
    </w:p>
    <w:p>
      <w:pPr>
        <w:pStyle w:val="ListBullet"/>
        <w:spacing w:after="50" w:line="252" w:lineRule="auto"/>
        <w:ind w:left="317" w:hanging="202"/>
      </w:pPr>
      <w:r>
        <w:rPr>
          <w:rFonts w:ascii="Arial" w:hAnsi="Arial" w:eastAsia="Arial"/>
          <w:b w:val="0"/>
          <w:i w:val="0"/>
          <w:color w:val="111111"/>
          <w:sz w:val="20"/>
        </w:rPr>
        <w:t>Gold should generally remain within 5-10% of a finished piece; formal letters, memos and email signatures remain primarily black and white.</w:t>
      </w:r>
    </w:p>
    <w:p>
      <w:pPr>
        <w:keepNext/>
        <w:spacing w:before="160" w:after="120"/>
      </w:pPr>
      <w:r>
        <w:rPr>
          <w:rFonts w:ascii="Gilroy" w:hAnsi="Gilroy" w:eastAsia="Gilroy"/>
          <w:b/>
          <w:i w:val="0"/>
          <w:color w:val="B58A2C"/>
          <w:sz w:val="27"/>
        </w:rPr>
        <w:t>Audit note</w:t>
      </w:r>
    </w:p>
    <w:p>
      <w:pPr>
        <w:spacing w:before="0" w:after="60" w:line="259" w:lineRule="auto"/>
      </w:pPr>
      <w:r>
        <w:rPr>
          <w:rFonts w:ascii="Arial" w:hAnsi="Arial" w:eastAsia="Arial"/>
          <w:b w:val="0"/>
          <w:i/>
          <w:color w:val="444444"/>
          <w:sz w:val="18"/>
        </w:rPr>
        <w:t>Microsoft Office files often retain default theme colours internally even when those colours are not visibly used. This audit distinguishes those dormant theme definitions from actual legacy teal/sage styling and written palette references that could affect future use.</w:t>
      </w:r>
    </w:p>
    <w:p>
      <w:r>
        <w:br w:type="page"/>
      </w:r>
    </w:p>
    <w:p>
      <w:pPr>
        <w:keepNext/>
        <w:spacing w:before="80" w:after="80"/>
      </w:pPr>
      <w:r>
        <w:rPr>
          <w:rFonts w:ascii="Gilroy" w:hAnsi="Gilroy" w:eastAsia="Gilroy"/>
          <w:b/>
          <w:i w:val="0"/>
          <w:color w:val="111111"/>
          <w:sz w:val="36"/>
        </w:rPr>
        <w:t>1. Aligned - no material palette change required</w:t>
      </w:r>
    </w:p>
    <w:p>
      <w:pPr>
        <w:spacing w:before="0" w:after="140" w:line="259" w:lineRule="auto"/>
      </w:pPr>
      <w:r>
        <w:rPr>
          <w:rFonts w:ascii="Arial" w:hAnsi="Arial" w:eastAsia="Arial"/>
          <w:b w:val="0"/>
          <w:i w:val="0"/>
          <w:color w:val="444444"/>
          <w:sz w:val="20"/>
        </w:rPr>
        <w:t>These files already reflect the final application rules or remain intentionally monochrome.</w:t>
      </w:r>
    </w:p>
    <w:tbl>
      <w:tblPr>
        <w:tblW w:type="auto" w:w="0"/>
        <w:jc w:val="center"/>
        <w:tblLayout w:type="fixed"/>
        <w:tblLook w:firstColumn="1" w:firstRow="1" w:lastColumn="0" w:lastRow="0" w:noHBand="0" w:noVBand="1" w:val="04A0"/>
      </w:tblPr>
      <w:tblGrid>
        <w:gridCol w:w="3528"/>
        <w:gridCol w:w="1440"/>
        <w:gridCol w:w="3096"/>
        <w:gridCol w:w="2232"/>
      </w:tblGrid>
      <w:tr>
        <w:trPr>
          <w:tblHeader w:val="true"/>
        </w:trPr>
        <w:tc>
          <w:tcPr>
            <w:tcW w:type="dxa" w:w="2570"/>
            <w:shd w:fill="111111"/>
            <w:tcMar>
              <w:top w:w="95" w:type="dxa"/>
              <w:start w:w="110" w:type="dxa"/>
              <w:bottom w:w="95" w:type="dxa"/>
              <w:end w:w="110" w:type="dxa"/>
            </w:tcMar>
            <w:vAlign w:val="center"/>
          </w:tcPr>
          <w:p>
            <w:pPr>
              <w:jc w:val="left"/>
            </w:pPr>
            <w:r>
              <w:rPr>
                <w:rFonts w:ascii="Arial" w:hAnsi="Arial" w:eastAsia="Arial"/>
                <w:b/>
                <w:i w:val="0"/>
                <w:color w:val="FFFFFF"/>
                <w:sz w:val="18"/>
              </w:rPr>
              <w:t>Approved file</w:t>
            </w:r>
          </w:p>
        </w:tc>
        <w:tc>
          <w:tcPr>
            <w:tcW w:type="dxa" w:w="2570"/>
            <w:shd w:fill="111111"/>
            <w:tcMar>
              <w:top w:w="95" w:type="dxa"/>
              <w:start w:w="110" w:type="dxa"/>
              <w:bottom w:w="95" w:type="dxa"/>
              <w:end w:w="110" w:type="dxa"/>
            </w:tcMar>
            <w:vAlign w:val="center"/>
          </w:tcPr>
          <w:p>
            <w:pPr>
              <w:jc w:val="left"/>
            </w:pPr>
            <w:r>
              <w:rPr>
                <w:rFonts w:ascii="Arial" w:hAnsi="Arial" w:eastAsia="Arial"/>
                <w:b/>
                <w:i w:val="0"/>
                <w:color w:val="FFFFFF"/>
                <w:sz w:val="18"/>
              </w:rPr>
              <w:t>Status</w:t>
            </w:r>
          </w:p>
        </w:tc>
        <w:tc>
          <w:tcPr>
            <w:tcW w:type="dxa" w:w="2570"/>
            <w:shd w:fill="111111"/>
            <w:tcMar>
              <w:top w:w="95" w:type="dxa"/>
              <w:start w:w="110" w:type="dxa"/>
              <w:bottom w:w="95" w:type="dxa"/>
              <w:end w:w="110" w:type="dxa"/>
            </w:tcMar>
            <w:vAlign w:val="center"/>
          </w:tcPr>
          <w:p>
            <w:pPr>
              <w:jc w:val="left"/>
            </w:pPr>
            <w:r>
              <w:rPr>
                <w:rFonts w:ascii="Arial" w:hAnsi="Arial" w:eastAsia="Arial"/>
                <w:b/>
                <w:i w:val="0"/>
                <w:color w:val="FFFFFF"/>
                <w:sz w:val="18"/>
              </w:rPr>
              <w:t>Finding</w:t>
            </w:r>
          </w:p>
        </w:tc>
        <w:tc>
          <w:tcPr>
            <w:tcW w:type="dxa" w:w="2570"/>
            <w:shd w:fill="111111"/>
            <w:tcMar>
              <w:top w:w="95" w:type="dxa"/>
              <w:start w:w="110" w:type="dxa"/>
              <w:bottom w:w="95" w:type="dxa"/>
              <w:end w:w="110" w:type="dxa"/>
            </w:tcMar>
            <w:vAlign w:val="center"/>
          </w:tcPr>
          <w:p>
            <w:pPr>
              <w:jc w:val="left"/>
            </w:pPr>
            <w:r>
              <w:rPr>
                <w:rFonts w:ascii="Arial" w:hAnsi="Arial" w:eastAsia="Arial"/>
                <w:b/>
                <w:i w:val="0"/>
                <w:color w:val="FFFFFF"/>
                <w:sz w:val="18"/>
              </w:rPr>
              <w:t>Required action</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Letter Standard v1</w:t>
            </w:r>
          </w:p>
        </w:tc>
        <w:tc>
          <w:tcPr>
            <w:tcW w:type="dxa" w:w="1440"/>
            <w:tcMar>
              <w:top w:w="90" w:type="dxa"/>
              <w:start w:w="110" w:type="dxa"/>
              <w:bottom w:w="90" w:type="dxa"/>
              <w:end w:w="110" w:type="dxa"/>
            </w:tcMar>
            <w:shd w:fill="E8E5DE"/>
            <w:vAlign w:val="center"/>
          </w:tcPr>
          <w:p>
            <w:pPr>
              <w:spacing w:after="0" w:line="240" w:lineRule="auto"/>
            </w:pPr>
            <w:r>
              <w:rPr>
                <w:rFonts w:ascii="Arial" w:hAnsi="Arial" w:eastAsia="Arial"/>
                <w:b/>
                <w:i w:val="0"/>
                <w:color w:val="111111"/>
                <w:sz w:val="17"/>
              </w:rPr>
              <w:t>ALIGNED</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Formal black-and-white application remains appropriate.</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No palette change.</w:t>
            </w:r>
          </w:p>
        </w:tc>
      </w:tr>
      <w:tr>
        <w:tc>
          <w:tcPr>
            <w:tcW w:type="dxa" w:w="3528"/>
            <w:tcMar>
              <w:top w:w="90" w:type="dxa"/>
              <w:start w:w="110" w:type="dxa"/>
              <w:bottom w:w="90" w:type="dxa"/>
              <w:end w:w="110" w:type="dxa"/>
            </w:tcMar>
            <w:vAlign w:val="center"/>
          </w:tcPr>
          <w:p>
            <w:pPr>
              <w:spacing w:after="0" w:line="240" w:lineRule="auto"/>
            </w:pPr>
            <w:r>
              <w:rPr>
                <w:rFonts w:ascii="Arial" w:hAnsi="Arial" w:eastAsia="Arial"/>
                <w:b/>
                <w:i w:val="0"/>
                <w:color w:val="111111"/>
                <w:sz w:val="17"/>
              </w:rPr>
              <w:t>Two-Page Letter Template v4</w:t>
            </w:r>
          </w:p>
        </w:tc>
        <w:tc>
          <w:tcPr>
            <w:tcW w:type="dxa" w:w="1440"/>
            <w:tcMar>
              <w:top w:w="90" w:type="dxa"/>
              <w:start w:w="110" w:type="dxa"/>
              <w:bottom w:w="90" w:type="dxa"/>
              <w:end w:w="110" w:type="dxa"/>
            </w:tcMar>
            <w:shd w:fill="E8E5DE"/>
            <w:vAlign w:val="center"/>
          </w:tcPr>
          <w:p>
            <w:pPr>
              <w:spacing w:after="0" w:line="240" w:lineRule="auto"/>
            </w:pPr>
            <w:r>
              <w:rPr>
                <w:rFonts w:ascii="Arial" w:hAnsi="Arial" w:eastAsia="Arial"/>
                <w:b/>
                <w:i w:val="0"/>
                <w:color w:val="111111"/>
                <w:sz w:val="17"/>
              </w:rPr>
              <w:t>ALIGNED</w:t>
            </w:r>
          </w:p>
        </w:tc>
        <w:tc>
          <w:tcPr>
            <w:tcW w:type="dxa" w:w="3096"/>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Formal correspondence is already visually restrained.</w:t>
            </w:r>
          </w:p>
        </w:tc>
        <w:tc>
          <w:tcPr>
            <w:tcW w:type="dxa" w:w="2232"/>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No palette change.</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Memo Template v2</w:t>
            </w:r>
          </w:p>
        </w:tc>
        <w:tc>
          <w:tcPr>
            <w:tcW w:type="dxa" w:w="1440"/>
            <w:tcMar>
              <w:top w:w="90" w:type="dxa"/>
              <w:start w:w="110" w:type="dxa"/>
              <w:bottom w:w="90" w:type="dxa"/>
              <w:end w:w="110" w:type="dxa"/>
            </w:tcMar>
            <w:shd w:fill="E8E5DE"/>
            <w:vAlign w:val="center"/>
          </w:tcPr>
          <w:p>
            <w:pPr>
              <w:spacing w:after="0" w:line="240" w:lineRule="auto"/>
            </w:pPr>
            <w:r>
              <w:rPr>
                <w:rFonts w:ascii="Arial" w:hAnsi="Arial" w:eastAsia="Arial"/>
                <w:b/>
                <w:i w:val="0"/>
                <w:color w:val="111111"/>
                <w:sz w:val="17"/>
              </w:rPr>
              <w:t>ALIGNED</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Client-facing memo layout is effectively black and white.</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No palette change.</w:t>
            </w:r>
          </w:p>
        </w:tc>
      </w:tr>
      <w:tr>
        <w:tc>
          <w:tcPr>
            <w:tcW w:type="dxa" w:w="3528"/>
            <w:tcMar>
              <w:top w:w="90" w:type="dxa"/>
              <w:start w:w="110" w:type="dxa"/>
              <w:bottom w:w="90" w:type="dxa"/>
              <w:end w:w="110" w:type="dxa"/>
            </w:tcMar>
            <w:vAlign w:val="center"/>
          </w:tcPr>
          <w:p>
            <w:pPr>
              <w:spacing w:after="0" w:line="240" w:lineRule="auto"/>
            </w:pPr>
            <w:r>
              <w:rPr>
                <w:rFonts w:ascii="Arial" w:hAnsi="Arial" w:eastAsia="Arial"/>
                <w:b/>
                <w:i w:val="0"/>
                <w:color w:val="111111"/>
                <w:sz w:val="17"/>
              </w:rPr>
              <w:t>Proposal-at-a-Glance Template v1</w:t>
            </w:r>
          </w:p>
        </w:tc>
        <w:tc>
          <w:tcPr>
            <w:tcW w:type="dxa" w:w="1440"/>
            <w:tcMar>
              <w:top w:w="90" w:type="dxa"/>
              <w:start w:w="110" w:type="dxa"/>
              <w:bottom w:w="90" w:type="dxa"/>
              <w:end w:w="110" w:type="dxa"/>
            </w:tcMar>
            <w:shd w:fill="E8E5DE"/>
            <w:vAlign w:val="center"/>
          </w:tcPr>
          <w:p>
            <w:pPr>
              <w:spacing w:after="0" w:line="240" w:lineRule="auto"/>
            </w:pPr>
            <w:r>
              <w:rPr>
                <w:rFonts w:ascii="Arial" w:hAnsi="Arial" w:eastAsia="Arial"/>
                <w:b/>
                <w:i w:val="0"/>
                <w:color w:val="111111"/>
                <w:sz w:val="17"/>
              </w:rPr>
              <w:t>ALIGNED</w:t>
            </w:r>
          </w:p>
        </w:tc>
        <w:tc>
          <w:tcPr>
            <w:tcW w:type="dxa" w:w="3096"/>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No material teal treatment is visible in the core layout.</w:t>
            </w:r>
          </w:p>
        </w:tc>
        <w:tc>
          <w:tcPr>
            <w:tcW w:type="dxa" w:w="2232"/>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Update only if the full proposal family is refreshed for consistency.</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One-Page Client Handout Template v1</w:t>
            </w:r>
          </w:p>
        </w:tc>
        <w:tc>
          <w:tcPr>
            <w:tcW w:type="dxa" w:w="1440"/>
            <w:tcMar>
              <w:top w:w="90" w:type="dxa"/>
              <w:start w:w="110" w:type="dxa"/>
              <w:bottom w:w="90" w:type="dxa"/>
              <w:end w:w="110" w:type="dxa"/>
            </w:tcMar>
            <w:shd w:fill="E8E5DE"/>
            <w:vAlign w:val="center"/>
          </w:tcPr>
          <w:p>
            <w:pPr>
              <w:spacing w:after="0" w:line="240" w:lineRule="auto"/>
            </w:pPr>
            <w:r>
              <w:rPr>
                <w:rFonts w:ascii="Arial" w:hAnsi="Arial" w:eastAsia="Arial"/>
                <w:b/>
                <w:i w:val="0"/>
                <w:color w:val="111111"/>
                <w:sz w:val="17"/>
              </w:rPr>
              <w:t>ALIGNED</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No material legacy accent is embedded in the current generic template.</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Retain as a light-format option.</w:t>
            </w:r>
          </w:p>
        </w:tc>
      </w:tr>
      <w:tr>
        <w:tc>
          <w:tcPr>
            <w:tcW w:type="dxa" w:w="3528"/>
            <w:tcMar>
              <w:top w:w="90" w:type="dxa"/>
              <w:start w:w="110" w:type="dxa"/>
              <w:bottom w:w="90" w:type="dxa"/>
              <w:end w:w="110" w:type="dxa"/>
            </w:tcMar>
            <w:vAlign w:val="center"/>
          </w:tcPr>
          <w:p>
            <w:pPr>
              <w:spacing w:after="0" w:line="240" w:lineRule="auto"/>
            </w:pPr>
            <w:r>
              <w:rPr>
                <w:rFonts w:ascii="Arial" w:hAnsi="Arial" w:eastAsia="Arial"/>
                <w:b/>
                <w:i w:val="0"/>
                <w:color w:val="111111"/>
                <w:sz w:val="17"/>
              </w:rPr>
              <w:t>PowerPoint Standard v6</w:t>
            </w:r>
          </w:p>
        </w:tc>
        <w:tc>
          <w:tcPr>
            <w:tcW w:type="dxa" w:w="1440"/>
            <w:tcMar>
              <w:top w:w="90" w:type="dxa"/>
              <w:start w:w="110" w:type="dxa"/>
              <w:bottom w:w="90" w:type="dxa"/>
              <w:end w:w="110" w:type="dxa"/>
            </w:tcMar>
            <w:shd w:fill="E8E5DE"/>
            <w:vAlign w:val="center"/>
          </w:tcPr>
          <w:p>
            <w:pPr>
              <w:spacing w:after="0" w:line="240" w:lineRule="auto"/>
            </w:pPr>
            <w:r>
              <w:rPr>
                <w:rFonts w:ascii="Arial" w:hAnsi="Arial" w:eastAsia="Arial"/>
                <w:b/>
                <w:i w:val="0"/>
                <w:color w:val="111111"/>
                <w:sz w:val="17"/>
              </w:rPr>
              <w:t>ALIGNED</w:t>
            </w:r>
          </w:p>
        </w:tc>
        <w:tc>
          <w:tcPr>
            <w:tcW w:type="dxa" w:w="3096"/>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Approved dark system uses black, white, bright gold and core Prairie Gold.</w:t>
            </w:r>
          </w:p>
        </w:tc>
        <w:tc>
          <w:tcPr>
            <w:tcW w:type="dxa" w:w="2232"/>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Maintain as current master.</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PowerPoint Template v6</w:t>
            </w:r>
          </w:p>
        </w:tc>
        <w:tc>
          <w:tcPr>
            <w:tcW w:type="dxa" w:w="1440"/>
            <w:tcMar>
              <w:top w:w="90" w:type="dxa"/>
              <w:start w:w="110" w:type="dxa"/>
              <w:bottom w:w="90" w:type="dxa"/>
              <w:end w:w="110" w:type="dxa"/>
            </w:tcMar>
            <w:shd w:fill="E8E5DE"/>
            <w:vAlign w:val="center"/>
          </w:tcPr>
          <w:p>
            <w:pPr>
              <w:spacing w:after="0" w:line="240" w:lineRule="auto"/>
            </w:pPr>
            <w:r>
              <w:rPr>
                <w:rFonts w:ascii="Arial" w:hAnsi="Arial" w:eastAsia="Arial"/>
                <w:b/>
                <w:i w:val="0"/>
                <w:color w:val="111111"/>
                <w:sz w:val="17"/>
              </w:rPr>
              <w:t>ALIGNED</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Approved dark system is aligned with the final presentation direction.</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Maintain as current master.</w:t>
            </w:r>
          </w:p>
        </w:tc>
      </w:tr>
      <w:tr>
        <w:tc>
          <w:tcPr>
            <w:tcW w:type="dxa" w:w="3528"/>
            <w:tcMar>
              <w:top w:w="90" w:type="dxa"/>
              <w:start w:w="110" w:type="dxa"/>
              <w:bottom w:w="90" w:type="dxa"/>
              <w:end w:w="110" w:type="dxa"/>
            </w:tcMar>
            <w:vAlign w:val="center"/>
          </w:tcPr>
          <w:p>
            <w:pPr>
              <w:spacing w:after="0" w:line="240" w:lineRule="auto"/>
            </w:pPr>
            <w:r>
              <w:rPr>
                <w:rFonts w:ascii="Arial" w:hAnsi="Arial" w:eastAsia="Arial"/>
                <w:b/>
                <w:i w:val="0"/>
                <w:color w:val="111111"/>
                <w:sz w:val="17"/>
              </w:rPr>
              <w:t>Email Signature Template v1</w:t>
            </w:r>
          </w:p>
        </w:tc>
        <w:tc>
          <w:tcPr>
            <w:tcW w:type="dxa" w:w="1440"/>
            <w:tcMar>
              <w:top w:w="90" w:type="dxa"/>
              <w:start w:w="110" w:type="dxa"/>
              <w:bottom w:w="90" w:type="dxa"/>
              <w:end w:w="110" w:type="dxa"/>
            </w:tcMar>
            <w:shd w:fill="E8E5DE"/>
            <w:vAlign w:val="center"/>
          </w:tcPr>
          <w:p>
            <w:pPr>
              <w:spacing w:after="0" w:line="240" w:lineRule="auto"/>
            </w:pPr>
            <w:r>
              <w:rPr>
                <w:rFonts w:ascii="Arial" w:hAnsi="Arial" w:eastAsia="Arial"/>
                <w:b/>
                <w:i w:val="0"/>
                <w:color w:val="111111"/>
                <w:sz w:val="17"/>
              </w:rPr>
              <w:t>ALIGNED</w:t>
            </w:r>
          </w:p>
        </w:tc>
        <w:tc>
          <w:tcPr>
            <w:tcW w:type="dxa" w:w="3096"/>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Monochrome design is aligned with rendering and accessibility requirements.</w:t>
            </w:r>
          </w:p>
        </w:tc>
        <w:tc>
          <w:tcPr>
            <w:tcW w:type="dxa" w:w="2232"/>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No palette change.</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Client Testimonial and Case Study Standard v1</w:t>
            </w:r>
          </w:p>
        </w:tc>
        <w:tc>
          <w:tcPr>
            <w:tcW w:type="dxa" w:w="1440"/>
            <w:tcMar>
              <w:top w:w="90" w:type="dxa"/>
              <w:start w:w="110" w:type="dxa"/>
              <w:bottom w:w="90" w:type="dxa"/>
              <w:end w:w="110" w:type="dxa"/>
            </w:tcMar>
            <w:shd w:fill="E8E5DE"/>
            <w:vAlign w:val="center"/>
          </w:tcPr>
          <w:p>
            <w:pPr>
              <w:spacing w:after="0" w:line="240" w:lineRule="auto"/>
            </w:pPr>
            <w:r>
              <w:rPr>
                <w:rFonts w:ascii="Arial" w:hAnsi="Arial" w:eastAsia="Arial"/>
                <w:b/>
                <w:i w:val="0"/>
                <w:color w:val="111111"/>
                <w:sz w:val="17"/>
              </w:rPr>
              <w:t>ALIGNED</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No material legacy palette treatment is embedded in the governing standard.</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No palette change.</w:t>
            </w:r>
          </w:p>
        </w:tc>
      </w:tr>
      <w:tr>
        <w:tc>
          <w:tcPr>
            <w:tcW w:type="dxa" w:w="3528"/>
            <w:tcMar>
              <w:top w:w="90" w:type="dxa"/>
              <w:start w:w="110" w:type="dxa"/>
              <w:bottom w:w="90" w:type="dxa"/>
              <w:end w:w="110" w:type="dxa"/>
            </w:tcMar>
            <w:vAlign w:val="center"/>
          </w:tcPr>
          <w:p>
            <w:pPr>
              <w:spacing w:after="0" w:line="240" w:lineRule="auto"/>
            </w:pPr>
            <w:r>
              <w:rPr>
                <w:rFonts w:ascii="Arial" w:hAnsi="Arial" w:eastAsia="Arial"/>
                <w:b/>
                <w:i w:val="0"/>
                <w:color w:val="111111"/>
                <w:sz w:val="17"/>
              </w:rPr>
              <w:t>Brand Quick Reference - Prairie Gold</w:t>
            </w:r>
          </w:p>
        </w:tc>
        <w:tc>
          <w:tcPr>
            <w:tcW w:type="dxa" w:w="1440"/>
            <w:tcMar>
              <w:top w:w="90" w:type="dxa"/>
              <w:start w:w="110" w:type="dxa"/>
              <w:bottom w:w="90" w:type="dxa"/>
              <w:end w:w="110" w:type="dxa"/>
            </w:tcMar>
            <w:shd w:fill="E8E5DE"/>
            <w:vAlign w:val="center"/>
          </w:tcPr>
          <w:p>
            <w:pPr>
              <w:spacing w:after="0" w:line="240" w:lineRule="auto"/>
            </w:pPr>
            <w:r>
              <w:rPr>
                <w:rFonts w:ascii="Arial" w:hAnsi="Arial" w:eastAsia="Arial"/>
                <w:b/>
                <w:i w:val="0"/>
                <w:color w:val="111111"/>
                <w:sz w:val="17"/>
              </w:rPr>
              <w:t>ALIGNED</w:t>
            </w:r>
          </w:p>
        </w:tc>
        <w:tc>
          <w:tcPr>
            <w:tcW w:type="dxa" w:w="3096"/>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Approved palette and usage hierarchy are current.</w:t>
            </w:r>
          </w:p>
        </w:tc>
        <w:tc>
          <w:tcPr>
            <w:tcW w:type="dxa" w:w="2232"/>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Maintain as current quick reference.</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Working with Janke LLP v3 - Dark</w:t>
            </w:r>
          </w:p>
        </w:tc>
        <w:tc>
          <w:tcPr>
            <w:tcW w:type="dxa" w:w="1440"/>
            <w:tcMar>
              <w:top w:w="90" w:type="dxa"/>
              <w:start w:w="110" w:type="dxa"/>
              <w:bottom w:w="90" w:type="dxa"/>
              <w:end w:w="110" w:type="dxa"/>
            </w:tcMar>
            <w:shd w:fill="E8E5DE"/>
            <w:vAlign w:val="center"/>
          </w:tcPr>
          <w:p>
            <w:pPr>
              <w:spacing w:after="0" w:line="240" w:lineRule="auto"/>
            </w:pPr>
            <w:r>
              <w:rPr>
                <w:rFonts w:ascii="Arial" w:hAnsi="Arial" w:eastAsia="Arial"/>
                <w:b/>
                <w:i w:val="0"/>
                <w:color w:val="111111"/>
                <w:sz w:val="17"/>
              </w:rPr>
              <w:t>ALIGNED</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Approved black background, white body copy and restrained gold highlights.</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Maintain as current client handout.</w:t>
            </w:r>
          </w:p>
        </w:tc>
      </w:tr>
    </w:tbl>
    <w:p>
      <w:pPr>
        <w:spacing w:after="0"/>
      </w:pPr>
    </w:p>
    <w:p>
      <w:r>
        <w:br w:type="page"/>
      </w:r>
    </w:p>
    <w:p>
      <w:pPr>
        <w:keepNext/>
        <w:spacing w:before="80" w:after="80"/>
      </w:pPr>
      <w:r>
        <w:rPr>
          <w:rFonts w:ascii="Gilroy" w:hAnsi="Gilroy" w:eastAsia="Gilroy"/>
          <w:b/>
          <w:i w:val="0"/>
          <w:color w:val="111111"/>
          <w:sz w:val="36"/>
        </w:rPr>
        <w:t>2. Content alignment required</w:t>
      </w:r>
    </w:p>
    <w:p>
      <w:pPr>
        <w:spacing w:before="0" w:after="140" w:line="259" w:lineRule="auto"/>
      </w:pPr>
      <w:r>
        <w:rPr>
          <w:rFonts w:ascii="Arial" w:hAnsi="Arial" w:eastAsia="Arial"/>
          <w:b w:val="0"/>
          <w:i w:val="0"/>
          <w:color w:val="444444"/>
          <w:sz w:val="20"/>
        </w:rPr>
        <w:t>These files can retain their current layout. The written guidance should be updated to remove superseded teal/sage terminology and align with the consolidated guide.</w:t>
      </w:r>
    </w:p>
    <w:tbl>
      <w:tblPr>
        <w:tblW w:type="auto" w:w="0"/>
        <w:jc w:val="center"/>
        <w:tblLayout w:type="fixed"/>
        <w:tblLook w:firstColumn="1" w:firstRow="1" w:lastColumn="0" w:lastRow="0" w:noHBand="0" w:noVBand="1" w:val="04A0"/>
      </w:tblPr>
      <w:tblGrid>
        <w:gridCol w:w="3528"/>
        <w:gridCol w:w="1440"/>
        <w:gridCol w:w="3096"/>
        <w:gridCol w:w="2232"/>
      </w:tblGrid>
      <w:tr>
        <w:trPr>
          <w:tblHeader w:val="true"/>
        </w:trPr>
        <w:tc>
          <w:tcPr>
            <w:tcW w:type="dxa" w:w="2570"/>
            <w:shd w:fill="111111"/>
            <w:tcMar>
              <w:top w:w="95" w:type="dxa"/>
              <w:start w:w="110" w:type="dxa"/>
              <w:bottom w:w="95" w:type="dxa"/>
              <w:end w:w="110" w:type="dxa"/>
            </w:tcMar>
            <w:vAlign w:val="center"/>
          </w:tcPr>
          <w:p>
            <w:pPr>
              <w:jc w:val="left"/>
            </w:pPr>
            <w:r>
              <w:rPr>
                <w:rFonts w:ascii="Arial" w:hAnsi="Arial" w:eastAsia="Arial"/>
                <w:b/>
                <w:i w:val="0"/>
                <w:color w:val="FFFFFF"/>
                <w:sz w:val="18"/>
              </w:rPr>
              <w:t>Approved file</w:t>
            </w:r>
          </w:p>
        </w:tc>
        <w:tc>
          <w:tcPr>
            <w:tcW w:type="dxa" w:w="2570"/>
            <w:shd w:fill="111111"/>
            <w:tcMar>
              <w:top w:w="95" w:type="dxa"/>
              <w:start w:w="110" w:type="dxa"/>
              <w:bottom w:w="95" w:type="dxa"/>
              <w:end w:w="110" w:type="dxa"/>
            </w:tcMar>
            <w:vAlign w:val="center"/>
          </w:tcPr>
          <w:p>
            <w:pPr>
              <w:jc w:val="left"/>
            </w:pPr>
            <w:r>
              <w:rPr>
                <w:rFonts w:ascii="Arial" w:hAnsi="Arial" w:eastAsia="Arial"/>
                <w:b/>
                <w:i w:val="0"/>
                <w:color w:val="FFFFFF"/>
                <w:sz w:val="18"/>
              </w:rPr>
              <w:t>Status</w:t>
            </w:r>
          </w:p>
        </w:tc>
        <w:tc>
          <w:tcPr>
            <w:tcW w:type="dxa" w:w="2570"/>
            <w:shd w:fill="111111"/>
            <w:tcMar>
              <w:top w:w="95" w:type="dxa"/>
              <w:start w:w="110" w:type="dxa"/>
              <w:bottom w:w="95" w:type="dxa"/>
              <w:end w:w="110" w:type="dxa"/>
            </w:tcMar>
            <w:vAlign w:val="center"/>
          </w:tcPr>
          <w:p>
            <w:pPr>
              <w:jc w:val="left"/>
            </w:pPr>
            <w:r>
              <w:rPr>
                <w:rFonts w:ascii="Arial" w:hAnsi="Arial" w:eastAsia="Arial"/>
                <w:b/>
                <w:i w:val="0"/>
                <w:color w:val="FFFFFF"/>
                <w:sz w:val="18"/>
              </w:rPr>
              <w:t>Finding</w:t>
            </w:r>
          </w:p>
        </w:tc>
        <w:tc>
          <w:tcPr>
            <w:tcW w:type="dxa" w:w="2570"/>
            <w:shd w:fill="111111"/>
            <w:tcMar>
              <w:top w:w="95" w:type="dxa"/>
              <w:start w:w="110" w:type="dxa"/>
              <w:bottom w:w="95" w:type="dxa"/>
              <w:end w:w="110" w:type="dxa"/>
            </w:tcMar>
            <w:vAlign w:val="center"/>
          </w:tcPr>
          <w:p>
            <w:pPr>
              <w:jc w:val="left"/>
            </w:pPr>
            <w:r>
              <w:rPr>
                <w:rFonts w:ascii="Arial" w:hAnsi="Arial" w:eastAsia="Arial"/>
                <w:b/>
                <w:i w:val="0"/>
                <w:color w:val="FFFFFF"/>
                <w:sz w:val="18"/>
              </w:rPr>
              <w:t>Required action</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Memo Standard v1</w:t>
            </w:r>
          </w:p>
        </w:tc>
        <w:tc>
          <w:tcPr>
            <w:tcW w:type="dxa" w:w="1440"/>
            <w:tcMar>
              <w:top w:w="90" w:type="dxa"/>
              <w:start w:w="110" w:type="dxa"/>
              <w:bottom w:w="90" w:type="dxa"/>
              <w:end w:w="110" w:type="dxa"/>
            </w:tcMar>
            <w:shd w:fill="F4E7C4"/>
            <w:vAlign w:val="center"/>
          </w:tcPr>
          <w:p>
            <w:pPr>
              <w:spacing w:after="0" w:line="240" w:lineRule="auto"/>
            </w:pPr>
            <w:r>
              <w:rPr>
                <w:rFonts w:ascii="Arial" w:hAnsi="Arial" w:eastAsia="Arial"/>
                <w:b/>
                <w:i w:val="0"/>
                <w:color w:val="111111"/>
                <w:sz w:val="17"/>
              </w:rPr>
              <w:t>TEXT ONLY</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Contains an earlier deep-teal reference in the written guidance.</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Replace teal terminology with black/white and restrained Prairie Gold rules.</w:t>
            </w:r>
          </w:p>
        </w:tc>
      </w:tr>
      <w:tr>
        <w:tc>
          <w:tcPr>
            <w:tcW w:type="dxa" w:w="3528"/>
            <w:tcMar>
              <w:top w:w="90" w:type="dxa"/>
              <w:start w:w="110" w:type="dxa"/>
              <w:bottom w:w="90" w:type="dxa"/>
              <w:end w:w="110" w:type="dxa"/>
            </w:tcMar>
            <w:vAlign w:val="center"/>
          </w:tcPr>
          <w:p>
            <w:pPr>
              <w:spacing w:after="0" w:line="240" w:lineRule="auto"/>
            </w:pPr>
            <w:r>
              <w:rPr>
                <w:rFonts w:ascii="Arial" w:hAnsi="Arial" w:eastAsia="Arial"/>
                <w:b/>
                <w:i w:val="0"/>
                <w:color w:val="111111"/>
                <w:sz w:val="17"/>
              </w:rPr>
              <w:t>Proposal Standard v1</w:t>
            </w:r>
          </w:p>
        </w:tc>
        <w:tc>
          <w:tcPr>
            <w:tcW w:type="dxa" w:w="1440"/>
            <w:tcMar>
              <w:top w:w="90" w:type="dxa"/>
              <w:start w:w="110" w:type="dxa"/>
              <w:bottom w:w="90" w:type="dxa"/>
              <w:end w:w="110" w:type="dxa"/>
            </w:tcMar>
            <w:shd w:fill="F4E7C4"/>
            <w:vAlign w:val="center"/>
          </w:tcPr>
          <w:p>
            <w:pPr>
              <w:spacing w:after="0" w:line="240" w:lineRule="auto"/>
            </w:pPr>
            <w:r>
              <w:rPr>
                <w:rFonts w:ascii="Arial" w:hAnsi="Arial" w:eastAsia="Arial"/>
                <w:b/>
                <w:i w:val="0"/>
                <w:color w:val="111111"/>
                <w:sz w:val="17"/>
              </w:rPr>
              <w:t>TEXT ONLY</w:t>
            </w:r>
          </w:p>
        </w:tc>
        <w:tc>
          <w:tcPr>
            <w:tcW w:type="dxa" w:w="3096"/>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References the earlier teal, sage and warm-neutral system.</w:t>
            </w:r>
          </w:p>
        </w:tc>
        <w:tc>
          <w:tcPr>
            <w:tcW w:type="dxa" w:w="2232"/>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Revise colour guidance; preserve the approved proposal structure.</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Proposal-at-a-Glance Template v1</w:t>
            </w:r>
          </w:p>
        </w:tc>
        <w:tc>
          <w:tcPr>
            <w:tcW w:type="dxa" w:w="1440"/>
            <w:tcMar>
              <w:top w:w="90" w:type="dxa"/>
              <w:start w:w="110" w:type="dxa"/>
              <w:bottom w:w="90" w:type="dxa"/>
              <w:end w:w="110" w:type="dxa"/>
            </w:tcMar>
            <w:shd w:fill="F4E7C4"/>
            <w:vAlign w:val="center"/>
          </w:tcPr>
          <w:p>
            <w:pPr>
              <w:spacing w:after="0" w:line="240" w:lineRule="auto"/>
            </w:pPr>
            <w:r>
              <w:rPr>
                <w:rFonts w:ascii="Arial" w:hAnsi="Arial" w:eastAsia="Arial"/>
                <w:b/>
                <w:i w:val="0"/>
                <w:color w:val="111111"/>
                <w:sz w:val="17"/>
              </w:rPr>
              <w:t>TEXT ONLY</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Contains a limited sage reference in template instructions.</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Replace terminology during the proposal-family refresh.</w:t>
            </w:r>
          </w:p>
        </w:tc>
      </w:tr>
      <w:tr>
        <w:tc>
          <w:tcPr>
            <w:tcW w:type="dxa" w:w="3528"/>
            <w:tcMar>
              <w:top w:w="90" w:type="dxa"/>
              <w:start w:w="110" w:type="dxa"/>
              <w:bottom w:w="90" w:type="dxa"/>
              <w:end w:w="110" w:type="dxa"/>
            </w:tcMar>
            <w:vAlign w:val="center"/>
          </w:tcPr>
          <w:p>
            <w:pPr>
              <w:spacing w:after="0" w:line="240" w:lineRule="auto"/>
            </w:pPr>
            <w:r>
              <w:rPr>
                <w:rFonts w:ascii="Arial" w:hAnsi="Arial" w:eastAsia="Arial"/>
                <w:b/>
                <w:i w:val="0"/>
                <w:color w:val="111111"/>
                <w:sz w:val="17"/>
              </w:rPr>
              <w:t>One-Page Client Handout Standard v1</w:t>
            </w:r>
          </w:p>
        </w:tc>
        <w:tc>
          <w:tcPr>
            <w:tcW w:type="dxa" w:w="1440"/>
            <w:tcMar>
              <w:top w:w="90" w:type="dxa"/>
              <w:start w:w="110" w:type="dxa"/>
              <w:bottom w:w="90" w:type="dxa"/>
              <w:end w:w="110" w:type="dxa"/>
            </w:tcMar>
            <w:shd w:fill="F4E7C4"/>
            <w:vAlign w:val="center"/>
          </w:tcPr>
          <w:p>
            <w:pPr>
              <w:spacing w:after="0" w:line="240" w:lineRule="auto"/>
            </w:pPr>
            <w:r>
              <w:rPr>
                <w:rFonts w:ascii="Arial" w:hAnsi="Arial" w:eastAsia="Arial"/>
                <w:b/>
                <w:i w:val="0"/>
                <w:color w:val="111111"/>
                <w:sz w:val="17"/>
              </w:rPr>
              <w:t>TEXT ONLY</w:t>
            </w:r>
          </w:p>
        </w:tc>
        <w:tc>
          <w:tcPr>
            <w:tcW w:type="dxa" w:w="3096"/>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References the superseded teal/sage palette.</w:t>
            </w:r>
          </w:p>
        </w:tc>
        <w:tc>
          <w:tcPr>
            <w:tcW w:type="dxa" w:w="2232"/>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Revise usage guidance and add dark premium option.</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Recruitment Posting Standard v1</w:t>
            </w:r>
          </w:p>
        </w:tc>
        <w:tc>
          <w:tcPr>
            <w:tcW w:type="dxa" w:w="1440"/>
            <w:tcMar>
              <w:top w:w="90" w:type="dxa"/>
              <w:start w:w="110" w:type="dxa"/>
              <w:bottom w:w="90" w:type="dxa"/>
              <w:end w:w="110" w:type="dxa"/>
            </w:tcMar>
            <w:shd w:fill="F4E7C4"/>
            <w:vAlign w:val="center"/>
          </w:tcPr>
          <w:p>
            <w:pPr>
              <w:spacing w:after="0" w:line="240" w:lineRule="auto"/>
            </w:pPr>
            <w:r>
              <w:rPr>
                <w:rFonts w:ascii="Arial" w:hAnsi="Arial" w:eastAsia="Arial"/>
                <w:b/>
                <w:i w:val="0"/>
                <w:color w:val="111111"/>
                <w:sz w:val="17"/>
              </w:rPr>
              <w:t>TEXT ONLY</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References the superseded teal/sage palette.</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Revise colour and visual-direction language.</w:t>
            </w:r>
          </w:p>
        </w:tc>
      </w:tr>
      <w:tr>
        <w:tc>
          <w:tcPr>
            <w:tcW w:type="dxa" w:w="3528"/>
            <w:tcMar>
              <w:top w:w="90" w:type="dxa"/>
              <w:start w:w="110" w:type="dxa"/>
              <w:bottom w:w="90" w:type="dxa"/>
              <w:end w:w="110" w:type="dxa"/>
            </w:tcMar>
            <w:vAlign w:val="center"/>
          </w:tcPr>
          <w:p>
            <w:pPr>
              <w:spacing w:after="0" w:line="240" w:lineRule="auto"/>
            </w:pPr>
            <w:r>
              <w:rPr>
                <w:rFonts w:ascii="Arial" w:hAnsi="Arial" w:eastAsia="Arial"/>
                <w:b/>
                <w:i w:val="0"/>
                <w:color w:val="111111"/>
                <w:sz w:val="17"/>
              </w:rPr>
              <w:t>Advisory Report Standard v1</w:t>
            </w:r>
          </w:p>
        </w:tc>
        <w:tc>
          <w:tcPr>
            <w:tcW w:type="dxa" w:w="1440"/>
            <w:tcMar>
              <w:top w:w="90" w:type="dxa"/>
              <w:start w:w="110" w:type="dxa"/>
              <w:bottom w:w="90" w:type="dxa"/>
              <w:end w:w="110" w:type="dxa"/>
            </w:tcMar>
            <w:shd w:fill="F4E7C4"/>
            <w:vAlign w:val="center"/>
          </w:tcPr>
          <w:p>
            <w:pPr>
              <w:spacing w:after="0" w:line="240" w:lineRule="auto"/>
            </w:pPr>
            <w:r>
              <w:rPr>
                <w:rFonts w:ascii="Arial" w:hAnsi="Arial" w:eastAsia="Arial"/>
                <w:b/>
                <w:i w:val="0"/>
                <w:color w:val="111111"/>
                <w:sz w:val="17"/>
              </w:rPr>
              <w:t>TEXT ONLY</w:t>
            </w:r>
          </w:p>
        </w:tc>
        <w:tc>
          <w:tcPr>
            <w:tcW w:type="dxa" w:w="3096"/>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References the superseded teal/sage palette.</w:t>
            </w:r>
          </w:p>
        </w:tc>
        <w:tc>
          <w:tcPr>
            <w:tcW w:type="dxa" w:w="2232"/>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Revise presentation and report-cover guidance.</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Social Media Post Standard v1</w:t>
            </w:r>
          </w:p>
        </w:tc>
        <w:tc>
          <w:tcPr>
            <w:tcW w:type="dxa" w:w="1440"/>
            <w:tcMar>
              <w:top w:w="90" w:type="dxa"/>
              <w:start w:w="110" w:type="dxa"/>
              <w:bottom w:w="90" w:type="dxa"/>
              <w:end w:w="110" w:type="dxa"/>
            </w:tcMar>
            <w:shd w:fill="F4E7C4"/>
            <w:vAlign w:val="center"/>
          </w:tcPr>
          <w:p>
            <w:pPr>
              <w:spacing w:after="0" w:line="240" w:lineRule="auto"/>
            </w:pPr>
            <w:r>
              <w:rPr>
                <w:rFonts w:ascii="Arial" w:hAnsi="Arial" w:eastAsia="Arial"/>
                <w:b/>
                <w:i w:val="0"/>
                <w:color w:val="111111"/>
                <w:sz w:val="17"/>
              </w:rPr>
              <w:t>TEXT ONLY</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Contains earlier sage terminology.</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Replace with black/white and limited Prairie Gold guidance.</w:t>
            </w:r>
          </w:p>
        </w:tc>
      </w:tr>
      <w:tr>
        <w:tc>
          <w:tcPr>
            <w:tcW w:type="dxa" w:w="3528"/>
            <w:tcMar>
              <w:top w:w="90" w:type="dxa"/>
              <w:start w:w="110" w:type="dxa"/>
              <w:bottom w:w="90" w:type="dxa"/>
              <w:end w:w="110" w:type="dxa"/>
            </w:tcMar>
            <w:vAlign w:val="center"/>
          </w:tcPr>
          <w:p>
            <w:pPr>
              <w:spacing w:after="0" w:line="240" w:lineRule="auto"/>
            </w:pPr>
            <w:r>
              <w:rPr>
                <w:rFonts w:ascii="Arial" w:hAnsi="Arial" w:eastAsia="Arial"/>
                <w:b/>
                <w:i w:val="0"/>
                <w:color w:val="111111"/>
                <w:sz w:val="17"/>
              </w:rPr>
              <w:t>Brand in Practice Appendix v1</w:t>
            </w:r>
          </w:p>
        </w:tc>
        <w:tc>
          <w:tcPr>
            <w:tcW w:type="dxa" w:w="1440"/>
            <w:tcMar>
              <w:top w:w="90" w:type="dxa"/>
              <w:start w:w="110" w:type="dxa"/>
              <w:bottom w:w="90" w:type="dxa"/>
              <w:end w:w="110" w:type="dxa"/>
            </w:tcMar>
            <w:shd w:fill="F4E7C4"/>
            <w:vAlign w:val="center"/>
          </w:tcPr>
          <w:p>
            <w:pPr>
              <w:spacing w:after="0" w:line="240" w:lineRule="auto"/>
            </w:pPr>
            <w:r>
              <w:rPr>
                <w:rFonts w:ascii="Arial" w:hAnsi="Arial" w:eastAsia="Arial"/>
                <w:b/>
                <w:i w:val="0"/>
                <w:color w:val="111111"/>
                <w:sz w:val="17"/>
              </w:rPr>
              <w:t>TEXT ONLY</w:t>
            </w:r>
          </w:p>
        </w:tc>
        <w:tc>
          <w:tcPr>
            <w:tcW w:type="dxa" w:w="3096"/>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Contains both legacy teal/sage guidance and later Prairie Gold references.</w:t>
            </w:r>
          </w:p>
        </w:tc>
        <w:tc>
          <w:tcPr>
            <w:tcW w:type="dxa" w:w="2232"/>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Consolidate into one final palette system and remove conflicting examples.</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Email Signature Standard v1</w:t>
            </w:r>
          </w:p>
        </w:tc>
        <w:tc>
          <w:tcPr>
            <w:tcW w:type="dxa" w:w="1440"/>
            <w:tcMar>
              <w:top w:w="90" w:type="dxa"/>
              <w:start w:w="110" w:type="dxa"/>
              <w:bottom w:w="90" w:type="dxa"/>
              <w:end w:w="110" w:type="dxa"/>
            </w:tcMar>
            <w:shd w:fill="F4E7C4"/>
            <w:vAlign w:val="center"/>
          </w:tcPr>
          <w:p>
            <w:pPr>
              <w:spacing w:after="0" w:line="240" w:lineRule="auto"/>
            </w:pPr>
            <w:r>
              <w:rPr>
                <w:rFonts w:ascii="Arial" w:hAnsi="Arial" w:eastAsia="Arial"/>
                <w:b/>
                <w:i w:val="0"/>
                <w:color w:val="111111"/>
                <w:sz w:val="17"/>
              </w:rPr>
              <w:t>TEXT ONLY</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Contains minor legacy palette references outside the signature itself.</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Clarify that signatures remain black and white; remove obsolete colour language.</w:t>
            </w:r>
          </w:p>
        </w:tc>
      </w:tr>
    </w:tbl>
    <w:p>
      <w:pPr>
        <w:spacing w:after="0"/>
      </w:pPr>
    </w:p>
    <w:p>
      <w:r>
        <w:br w:type="page"/>
      </w:r>
    </w:p>
    <w:p>
      <w:pPr>
        <w:keepNext/>
        <w:spacing w:before="80" w:after="80"/>
      </w:pPr>
      <w:r>
        <w:rPr>
          <w:rFonts w:ascii="Gilroy" w:hAnsi="Gilroy" w:eastAsia="Gilroy"/>
          <w:b/>
          <w:i w:val="0"/>
          <w:color w:val="111111"/>
          <w:sz w:val="36"/>
        </w:rPr>
        <w:t>3. Design refresh required</w:t>
      </w:r>
    </w:p>
    <w:p>
      <w:pPr>
        <w:spacing w:before="0" w:after="140" w:line="259" w:lineRule="auto"/>
      </w:pPr>
      <w:r>
        <w:rPr>
          <w:rFonts w:ascii="Arial" w:hAnsi="Arial" w:eastAsia="Arial"/>
          <w:b w:val="0"/>
          <w:i w:val="0"/>
          <w:color w:val="444444"/>
          <w:sz w:val="20"/>
        </w:rPr>
        <w:t>These active templates contain visible legacy styling and should be revised before they are treated as final controlled masters.</w:t>
      </w:r>
    </w:p>
    <w:tbl>
      <w:tblPr>
        <w:tblW w:type="auto" w:w="0"/>
        <w:jc w:val="center"/>
        <w:tblLayout w:type="fixed"/>
        <w:tblLook w:firstColumn="1" w:firstRow="1" w:lastColumn="0" w:lastRow="0" w:noHBand="0" w:noVBand="1" w:val="04A0"/>
      </w:tblPr>
      <w:tblGrid>
        <w:gridCol w:w="3528"/>
        <w:gridCol w:w="1440"/>
        <w:gridCol w:w="3096"/>
        <w:gridCol w:w="2232"/>
      </w:tblGrid>
      <w:tr>
        <w:trPr>
          <w:tblHeader w:val="true"/>
        </w:trPr>
        <w:tc>
          <w:tcPr>
            <w:tcW w:type="dxa" w:w="2570"/>
            <w:shd w:fill="111111"/>
            <w:tcMar>
              <w:top w:w="95" w:type="dxa"/>
              <w:start w:w="110" w:type="dxa"/>
              <w:bottom w:w="95" w:type="dxa"/>
              <w:end w:w="110" w:type="dxa"/>
            </w:tcMar>
            <w:vAlign w:val="center"/>
          </w:tcPr>
          <w:p>
            <w:pPr>
              <w:jc w:val="left"/>
            </w:pPr>
            <w:r>
              <w:rPr>
                <w:rFonts w:ascii="Arial" w:hAnsi="Arial" w:eastAsia="Arial"/>
                <w:b/>
                <w:i w:val="0"/>
                <w:color w:val="FFFFFF"/>
                <w:sz w:val="18"/>
              </w:rPr>
              <w:t>Approved file</w:t>
            </w:r>
          </w:p>
        </w:tc>
        <w:tc>
          <w:tcPr>
            <w:tcW w:type="dxa" w:w="2570"/>
            <w:shd w:fill="111111"/>
            <w:tcMar>
              <w:top w:w="95" w:type="dxa"/>
              <w:start w:w="110" w:type="dxa"/>
              <w:bottom w:w="95" w:type="dxa"/>
              <w:end w:w="110" w:type="dxa"/>
            </w:tcMar>
            <w:vAlign w:val="center"/>
          </w:tcPr>
          <w:p>
            <w:pPr>
              <w:jc w:val="left"/>
            </w:pPr>
            <w:r>
              <w:rPr>
                <w:rFonts w:ascii="Arial" w:hAnsi="Arial" w:eastAsia="Arial"/>
                <w:b/>
                <w:i w:val="0"/>
                <w:color w:val="FFFFFF"/>
                <w:sz w:val="18"/>
              </w:rPr>
              <w:t>Status</w:t>
            </w:r>
          </w:p>
        </w:tc>
        <w:tc>
          <w:tcPr>
            <w:tcW w:type="dxa" w:w="2570"/>
            <w:shd w:fill="111111"/>
            <w:tcMar>
              <w:top w:w="95" w:type="dxa"/>
              <w:start w:w="110" w:type="dxa"/>
              <w:bottom w:w="95" w:type="dxa"/>
              <w:end w:w="110" w:type="dxa"/>
            </w:tcMar>
            <w:vAlign w:val="center"/>
          </w:tcPr>
          <w:p>
            <w:pPr>
              <w:jc w:val="left"/>
            </w:pPr>
            <w:r>
              <w:rPr>
                <w:rFonts w:ascii="Arial" w:hAnsi="Arial" w:eastAsia="Arial"/>
                <w:b/>
                <w:i w:val="0"/>
                <w:color w:val="FFFFFF"/>
                <w:sz w:val="18"/>
              </w:rPr>
              <w:t>Finding</w:t>
            </w:r>
          </w:p>
        </w:tc>
        <w:tc>
          <w:tcPr>
            <w:tcW w:type="dxa" w:w="2570"/>
            <w:shd w:fill="111111"/>
            <w:tcMar>
              <w:top w:w="95" w:type="dxa"/>
              <w:start w:w="110" w:type="dxa"/>
              <w:bottom w:w="95" w:type="dxa"/>
              <w:end w:w="110" w:type="dxa"/>
            </w:tcMar>
            <w:vAlign w:val="center"/>
          </w:tcPr>
          <w:p>
            <w:pPr>
              <w:jc w:val="left"/>
            </w:pPr>
            <w:r>
              <w:rPr>
                <w:rFonts w:ascii="Arial" w:hAnsi="Arial" w:eastAsia="Arial"/>
                <w:b/>
                <w:i w:val="0"/>
                <w:color w:val="FFFFFF"/>
                <w:sz w:val="18"/>
              </w:rPr>
              <w:t>Required action</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Proposal Template v1</w:t>
            </w:r>
          </w:p>
        </w:tc>
        <w:tc>
          <w:tcPr>
            <w:tcW w:type="dxa" w:w="1440"/>
            <w:tcMar>
              <w:top w:w="90" w:type="dxa"/>
              <w:start w:w="110" w:type="dxa"/>
              <w:bottom w:w="90" w:type="dxa"/>
              <w:end w:w="110" w:type="dxa"/>
            </w:tcMar>
            <w:shd w:fill="E3C774"/>
            <w:vAlign w:val="center"/>
          </w:tcPr>
          <w:p>
            <w:pPr>
              <w:spacing w:after="0" w:line="240" w:lineRule="auto"/>
            </w:pPr>
            <w:r>
              <w:rPr>
                <w:rFonts w:ascii="Arial" w:hAnsi="Arial" w:eastAsia="Arial"/>
                <w:b/>
                <w:i w:val="0"/>
                <w:color w:val="111111"/>
                <w:sz w:val="17"/>
              </w:rPr>
              <w:t>REFRESH</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Visible deep-teal accent treatment remains in headings, panels and supporting elements.</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Rebuild in black/white with sparse Prairie Gold emphasis; retain content and pagination.</w:t>
            </w:r>
          </w:p>
        </w:tc>
      </w:tr>
      <w:tr>
        <w:tc>
          <w:tcPr>
            <w:tcW w:type="dxa" w:w="3528"/>
            <w:tcMar>
              <w:top w:w="90" w:type="dxa"/>
              <w:start w:w="110" w:type="dxa"/>
              <w:bottom w:w="90" w:type="dxa"/>
              <w:end w:w="110" w:type="dxa"/>
            </w:tcMar>
            <w:vAlign w:val="center"/>
          </w:tcPr>
          <w:p>
            <w:pPr>
              <w:spacing w:after="0" w:line="240" w:lineRule="auto"/>
            </w:pPr>
            <w:r>
              <w:rPr>
                <w:rFonts w:ascii="Arial" w:hAnsi="Arial" w:eastAsia="Arial"/>
                <w:b/>
                <w:i w:val="0"/>
                <w:color w:val="111111"/>
                <w:sz w:val="17"/>
              </w:rPr>
              <w:t>Recruitment Posting Template v1</w:t>
            </w:r>
          </w:p>
        </w:tc>
        <w:tc>
          <w:tcPr>
            <w:tcW w:type="dxa" w:w="1440"/>
            <w:tcMar>
              <w:top w:w="90" w:type="dxa"/>
              <w:start w:w="110" w:type="dxa"/>
              <w:bottom w:w="90" w:type="dxa"/>
              <w:end w:w="110" w:type="dxa"/>
            </w:tcMar>
            <w:shd w:fill="E3C774"/>
            <w:vAlign w:val="center"/>
          </w:tcPr>
          <w:p>
            <w:pPr>
              <w:spacing w:after="0" w:line="240" w:lineRule="auto"/>
            </w:pPr>
            <w:r>
              <w:rPr>
                <w:rFonts w:ascii="Arial" w:hAnsi="Arial" w:eastAsia="Arial"/>
                <w:b/>
                <w:i w:val="0"/>
                <w:color w:val="111111"/>
                <w:sz w:val="17"/>
              </w:rPr>
              <w:t>REFRESH</w:t>
            </w:r>
          </w:p>
        </w:tc>
        <w:tc>
          <w:tcPr>
            <w:tcW w:type="dxa" w:w="3096"/>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Visible teal and cool-grey treatments remain in section styling.</w:t>
            </w:r>
          </w:p>
        </w:tc>
        <w:tc>
          <w:tcPr>
            <w:tcW w:type="dxa" w:w="2232"/>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Refresh headers, callouts and internal guidance pages.</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Advisory Report Template v1 - Word</w:t>
            </w:r>
          </w:p>
        </w:tc>
        <w:tc>
          <w:tcPr>
            <w:tcW w:type="dxa" w:w="1440"/>
            <w:tcMar>
              <w:top w:w="90" w:type="dxa"/>
              <w:start w:w="110" w:type="dxa"/>
              <w:bottom w:w="90" w:type="dxa"/>
              <w:end w:w="110" w:type="dxa"/>
            </w:tcMar>
            <w:shd w:fill="E3C774"/>
            <w:vAlign w:val="center"/>
          </w:tcPr>
          <w:p>
            <w:pPr>
              <w:spacing w:after="0" w:line="240" w:lineRule="auto"/>
            </w:pPr>
            <w:r>
              <w:rPr>
                <w:rFonts w:ascii="Arial" w:hAnsi="Arial" w:eastAsia="Arial"/>
                <w:b/>
                <w:i w:val="0"/>
                <w:color w:val="111111"/>
                <w:sz w:val="17"/>
              </w:rPr>
              <w:t>REFRESH</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Visible teal/charcoal system remains prominent throughout the report.</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Rebuild cover, section bands, option tables and roadmap accents.</w:t>
            </w:r>
          </w:p>
        </w:tc>
      </w:tr>
      <w:tr>
        <w:tc>
          <w:tcPr>
            <w:tcW w:type="dxa" w:w="3528"/>
            <w:tcMar>
              <w:top w:w="90" w:type="dxa"/>
              <w:start w:w="110" w:type="dxa"/>
              <w:bottom w:w="90" w:type="dxa"/>
              <w:end w:w="110" w:type="dxa"/>
            </w:tcMar>
            <w:vAlign w:val="center"/>
          </w:tcPr>
          <w:p>
            <w:pPr>
              <w:spacing w:after="0" w:line="240" w:lineRule="auto"/>
            </w:pPr>
            <w:r>
              <w:rPr>
                <w:rFonts w:ascii="Arial" w:hAnsi="Arial" w:eastAsia="Arial"/>
                <w:b/>
                <w:i w:val="0"/>
                <w:color w:val="111111"/>
                <w:sz w:val="17"/>
              </w:rPr>
              <w:t>Advisory Report Template v1 - Excel</w:t>
            </w:r>
          </w:p>
        </w:tc>
        <w:tc>
          <w:tcPr>
            <w:tcW w:type="dxa" w:w="1440"/>
            <w:tcMar>
              <w:top w:w="90" w:type="dxa"/>
              <w:start w:w="110" w:type="dxa"/>
              <w:bottom w:w="90" w:type="dxa"/>
              <w:end w:w="110" w:type="dxa"/>
            </w:tcMar>
            <w:shd w:fill="E3C774"/>
            <w:vAlign w:val="center"/>
          </w:tcPr>
          <w:p>
            <w:pPr>
              <w:spacing w:after="0" w:line="240" w:lineRule="auto"/>
            </w:pPr>
            <w:r>
              <w:rPr>
                <w:rFonts w:ascii="Arial" w:hAnsi="Arial" w:eastAsia="Arial"/>
                <w:b/>
                <w:i w:val="0"/>
                <w:color w:val="111111"/>
                <w:sz w:val="17"/>
              </w:rPr>
              <w:t>REFRESH</w:t>
            </w:r>
          </w:p>
        </w:tc>
        <w:tc>
          <w:tcPr>
            <w:tcW w:type="dxa" w:w="3096"/>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Workbook requires a branded cover/tab treatment while retaining functional model colours.</w:t>
            </w:r>
          </w:p>
        </w:tc>
        <w:tc>
          <w:tcPr>
            <w:tcW w:type="dxa" w:w="2232"/>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Use gold only for brand headers and visual anchors; preserve blue inputs, black formulas, green links and purple controls where functional.</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Social Media Post Template v1</w:t>
            </w:r>
          </w:p>
        </w:tc>
        <w:tc>
          <w:tcPr>
            <w:tcW w:type="dxa" w:w="1440"/>
            <w:tcMar>
              <w:top w:w="90" w:type="dxa"/>
              <w:start w:w="110" w:type="dxa"/>
              <w:bottom w:w="90" w:type="dxa"/>
              <w:end w:w="110" w:type="dxa"/>
            </w:tcMar>
            <w:shd w:fill="E3C774"/>
            <w:vAlign w:val="center"/>
          </w:tcPr>
          <w:p>
            <w:pPr>
              <w:spacing w:after="0" w:line="240" w:lineRule="auto"/>
            </w:pPr>
            <w:r>
              <w:rPr>
                <w:rFonts w:ascii="Arial" w:hAnsi="Arial" w:eastAsia="Arial"/>
                <w:b/>
                <w:i w:val="0"/>
                <w:color w:val="111111"/>
                <w:sz w:val="17"/>
              </w:rPr>
              <w:t>REFRESH</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Visible teal and sage fills remain in the planning and approval layout.</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Refresh to black/white/gold and preserve accessibility workflow.</w:t>
            </w:r>
          </w:p>
        </w:tc>
      </w:tr>
      <w:tr>
        <w:tc>
          <w:tcPr>
            <w:tcW w:type="dxa" w:w="3528"/>
            <w:tcMar>
              <w:top w:w="90" w:type="dxa"/>
              <w:start w:w="110" w:type="dxa"/>
              <w:bottom w:w="90" w:type="dxa"/>
              <w:end w:w="110" w:type="dxa"/>
            </w:tcMar>
            <w:vAlign w:val="center"/>
          </w:tcPr>
          <w:p>
            <w:pPr>
              <w:spacing w:after="0" w:line="240" w:lineRule="auto"/>
            </w:pPr>
            <w:r>
              <w:rPr>
                <w:rFonts w:ascii="Arial" w:hAnsi="Arial" w:eastAsia="Arial"/>
                <w:b/>
                <w:i w:val="0"/>
                <w:color w:val="111111"/>
                <w:sz w:val="17"/>
              </w:rPr>
              <w:t>Client Testimonial and Case Study Template v1</w:t>
            </w:r>
          </w:p>
        </w:tc>
        <w:tc>
          <w:tcPr>
            <w:tcW w:type="dxa" w:w="1440"/>
            <w:tcMar>
              <w:top w:w="90" w:type="dxa"/>
              <w:start w:w="110" w:type="dxa"/>
              <w:bottom w:w="90" w:type="dxa"/>
              <w:end w:w="110" w:type="dxa"/>
            </w:tcMar>
            <w:shd w:fill="E3C774"/>
            <w:vAlign w:val="center"/>
          </w:tcPr>
          <w:p>
            <w:pPr>
              <w:spacing w:after="0" w:line="240" w:lineRule="auto"/>
            </w:pPr>
            <w:r>
              <w:rPr>
                <w:rFonts w:ascii="Arial" w:hAnsi="Arial" w:eastAsia="Arial"/>
                <w:b/>
                <w:i w:val="0"/>
                <w:color w:val="111111"/>
                <w:sz w:val="17"/>
              </w:rPr>
              <w:t>REFRESH</w:t>
            </w:r>
          </w:p>
        </w:tc>
        <w:tc>
          <w:tcPr>
            <w:tcW w:type="dxa" w:w="3096"/>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Visible teal, sage and cool-grey palette remains throughout.</w:t>
            </w:r>
          </w:p>
        </w:tc>
        <w:tc>
          <w:tcPr>
            <w:tcW w:type="dxa" w:w="2232"/>
            <w:tcMar>
              <w:top w:w="90" w:type="dxa"/>
              <w:start w:w="110" w:type="dxa"/>
              <w:bottom w:w="90" w:type="dxa"/>
              <w:end w:w="110" w:type="dxa"/>
            </w:tcMar>
            <w:vAlign w:val="center"/>
          </w:tcPr>
          <w:p>
            <w:pPr>
              <w:spacing w:after="0" w:line="240" w:lineRule="auto"/>
            </w:pPr>
            <w:r>
              <w:rPr>
                <w:rFonts w:ascii="Arial" w:hAnsi="Arial" w:eastAsia="Arial"/>
                <w:b w:val="0"/>
                <w:i w:val="0"/>
                <w:color w:val="111111"/>
                <w:sz w:val="17"/>
              </w:rPr>
              <w:t>Refresh quote panels, result callouts and approval sections.</w:t>
            </w:r>
          </w:p>
        </w:tc>
      </w:tr>
      <w:tr>
        <w:tc>
          <w:tcPr>
            <w:tcW w:type="dxa" w:w="3528"/>
            <w:tcMar>
              <w:top w:w="90" w:type="dxa"/>
              <w:start w:w="110" w:type="dxa"/>
              <w:bottom w:w="90" w:type="dxa"/>
              <w:end w:w="110" w:type="dxa"/>
            </w:tcMar>
            <w:shd w:fill="F7F5F0"/>
            <w:vAlign w:val="center"/>
          </w:tcPr>
          <w:p>
            <w:pPr>
              <w:spacing w:after="0" w:line="240" w:lineRule="auto"/>
            </w:pPr>
            <w:r>
              <w:rPr>
                <w:rFonts w:ascii="Arial" w:hAnsi="Arial" w:eastAsia="Arial"/>
                <w:b/>
                <w:i w:val="0"/>
                <w:color w:val="111111"/>
                <w:sz w:val="17"/>
              </w:rPr>
              <w:t>Sample Social Media Visuals v1</w:t>
            </w:r>
          </w:p>
        </w:tc>
        <w:tc>
          <w:tcPr>
            <w:tcW w:type="dxa" w:w="1440"/>
            <w:tcMar>
              <w:top w:w="90" w:type="dxa"/>
              <w:start w:w="110" w:type="dxa"/>
              <w:bottom w:w="90" w:type="dxa"/>
              <w:end w:w="110" w:type="dxa"/>
            </w:tcMar>
            <w:shd w:fill="E3C774"/>
            <w:vAlign w:val="center"/>
          </w:tcPr>
          <w:p>
            <w:pPr>
              <w:spacing w:after="0" w:line="240" w:lineRule="auto"/>
            </w:pPr>
            <w:r>
              <w:rPr>
                <w:rFonts w:ascii="Arial" w:hAnsi="Arial" w:eastAsia="Arial"/>
                <w:b/>
                <w:i w:val="0"/>
                <w:color w:val="111111"/>
                <w:sz w:val="17"/>
              </w:rPr>
              <w:t>REFRESH</w:t>
            </w:r>
          </w:p>
        </w:tc>
        <w:tc>
          <w:tcPr>
            <w:tcW w:type="dxa" w:w="3096"/>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Existing concept visuals use a different navy/gold treatment and are not final-brand examples.</w:t>
            </w:r>
          </w:p>
        </w:tc>
        <w:tc>
          <w:tcPr>
            <w:tcW w:type="dxa" w:w="2232"/>
            <w:tcMar>
              <w:top w:w="90" w:type="dxa"/>
              <w:start w:w="110" w:type="dxa"/>
              <w:bottom w:w="90" w:type="dxa"/>
              <w:end w:w="110" w:type="dxa"/>
            </w:tcMar>
            <w:shd w:fill="F7F5F0"/>
            <w:vAlign w:val="center"/>
          </w:tcPr>
          <w:p>
            <w:pPr>
              <w:spacing w:after="0" w:line="240" w:lineRule="auto"/>
            </w:pPr>
            <w:r>
              <w:rPr>
                <w:rFonts w:ascii="Arial" w:hAnsi="Arial" w:eastAsia="Arial"/>
                <w:b w:val="0"/>
                <w:i w:val="0"/>
                <w:color w:val="111111"/>
                <w:sz w:val="17"/>
              </w:rPr>
              <w:t>Recreate examples under the approved Janke system before external use.</w:t>
            </w:r>
          </w:p>
        </w:tc>
      </w:tr>
    </w:tbl>
    <w:p>
      <w:pPr>
        <w:spacing w:after="0"/>
      </w:pPr>
    </w:p>
    <w:p>
      <w:r>
        <w:br w:type="page"/>
      </w:r>
    </w:p>
    <w:p>
      <w:pPr>
        <w:keepNext/>
        <w:spacing w:before="200" w:after="120"/>
      </w:pPr>
      <w:r>
        <w:rPr>
          <w:rFonts w:ascii="Gilroy" w:hAnsi="Gilroy" w:eastAsia="Gilroy"/>
          <w:b/>
          <w:i w:val="0"/>
          <w:color w:val="111111"/>
          <w:sz w:val="36"/>
        </w:rPr>
        <w:t>Recommended revision sequence</w:t>
      </w:r>
    </w:p>
    <w:tbl>
      <w:tblPr>
        <w:tblW w:type="auto" w:w="0"/>
        <w:jc w:val="center"/>
        <w:tblLayout w:type="fixed"/>
        <w:tblLook w:firstColumn="1" w:firstRow="1" w:lastColumn="0" w:lastRow="0" w:noHBand="0" w:noVBand="1" w:val="04A0"/>
      </w:tblPr>
      <w:tblGrid>
        <w:gridCol w:w="648"/>
        <w:gridCol w:w="2592"/>
        <w:gridCol w:w="6192"/>
      </w:tblGrid>
      <w:tr>
        <w:tc>
          <w:tcPr>
            <w:tcW w:type="dxa" w:w="648"/>
            <w:tcMar>
              <w:top w:w="100" w:type="dxa"/>
              <w:start w:w="110" w:type="dxa"/>
              <w:bottom w:w="100" w:type="dxa"/>
              <w:end w:w="110" w:type="dxa"/>
            </w:tcMar>
            <w:shd w:fill="B58A2C"/>
          </w:tcPr>
          <w:p>
            <w:pPr>
              <w:jc w:val="center"/>
            </w:pPr>
            <w:r>
              <w:rPr>
                <w:rFonts w:ascii="Gilroy" w:hAnsi="Gilroy" w:eastAsia="Gilroy"/>
                <w:b/>
                <w:i w:val="0"/>
                <w:color w:val="FFFFFF"/>
                <w:sz w:val="22"/>
              </w:rPr>
              <w:t>1</w:t>
            </w:r>
          </w:p>
        </w:tc>
        <w:tc>
          <w:tcPr>
            <w:tcW w:type="dxa" w:w="2592"/>
            <w:tcMar>
              <w:top w:w="100" w:type="dxa"/>
              <w:start w:w="110" w:type="dxa"/>
              <w:bottom w:w="100" w:type="dxa"/>
              <w:end w:w="110" w:type="dxa"/>
            </w:tcMar>
          </w:tcPr>
          <w:p>
            <w:r>
              <w:rPr>
                <w:rFonts w:ascii="Arial" w:hAnsi="Arial" w:eastAsia="Arial"/>
                <w:b/>
                <w:i w:val="0"/>
                <w:color w:val="111111"/>
                <w:sz w:val="18"/>
              </w:rPr>
              <w:t>Proposal family</w:t>
            </w:r>
          </w:p>
        </w:tc>
        <w:tc>
          <w:tcPr>
            <w:tcW w:type="dxa" w:w="6192"/>
            <w:tcMar>
              <w:top w:w="100" w:type="dxa"/>
              <w:start w:w="110" w:type="dxa"/>
              <w:bottom w:w="100" w:type="dxa"/>
              <w:end w:w="110" w:type="dxa"/>
            </w:tcMar>
          </w:tcPr>
          <w:p>
            <w:r>
              <w:rPr>
                <w:rFonts w:ascii="Arial" w:hAnsi="Arial" w:eastAsia="Arial"/>
                <w:b w:val="0"/>
                <w:i w:val="0"/>
                <w:color w:val="444444"/>
                <w:sz w:val="18"/>
              </w:rPr>
              <w:t>Full proposal first, then the proposal-at-a-glance companion.</w:t>
            </w:r>
          </w:p>
        </w:tc>
      </w:tr>
      <w:tr>
        <w:tc>
          <w:tcPr>
            <w:tcW w:type="dxa" w:w="648"/>
            <w:tcMar>
              <w:top w:w="100" w:type="dxa"/>
              <w:start w:w="110" w:type="dxa"/>
              <w:bottom w:w="100" w:type="dxa"/>
              <w:end w:w="110" w:type="dxa"/>
            </w:tcMar>
            <w:shd w:fill="B58A2C"/>
          </w:tcPr>
          <w:p>
            <w:pPr>
              <w:jc w:val="center"/>
            </w:pPr>
            <w:r>
              <w:rPr>
                <w:rFonts w:ascii="Gilroy" w:hAnsi="Gilroy" w:eastAsia="Gilroy"/>
                <w:b/>
                <w:i w:val="0"/>
                <w:color w:val="FFFFFF"/>
                <w:sz w:val="22"/>
              </w:rPr>
              <w:t>2</w:t>
            </w:r>
          </w:p>
        </w:tc>
        <w:tc>
          <w:tcPr>
            <w:tcW w:type="dxa" w:w="2592"/>
            <w:tcMar>
              <w:top w:w="100" w:type="dxa"/>
              <w:start w:w="110" w:type="dxa"/>
              <w:bottom w:w="100" w:type="dxa"/>
              <w:end w:w="110" w:type="dxa"/>
            </w:tcMar>
          </w:tcPr>
          <w:p>
            <w:r>
              <w:rPr>
                <w:rFonts w:ascii="Arial" w:hAnsi="Arial" w:eastAsia="Arial"/>
                <w:b/>
                <w:i w:val="0"/>
                <w:color w:val="111111"/>
                <w:sz w:val="18"/>
              </w:rPr>
              <w:t>Advisory report family</w:t>
            </w:r>
          </w:p>
        </w:tc>
        <w:tc>
          <w:tcPr>
            <w:tcW w:type="dxa" w:w="6192"/>
            <w:tcMar>
              <w:top w:w="100" w:type="dxa"/>
              <w:start w:w="110" w:type="dxa"/>
              <w:bottom w:w="100" w:type="dxa"/>
              <w:end w:w="110" w:type="dxa"/>
            </w:tcMar>
          </w:tcPr>
          <w:p>
            <w:r>
              <w:rPr>
                <w:rFonts w:ascii="Arial" w:hAnsi="Arial" w:eastAsia="Arial"/>
                <w:b w:val="0"/>
                <w:i w:val="0"/>
                <w:color w:val="444444"/>
                <w:sz w:val="18"/>
              </w:rPr>
              <w:t>Word template and Excel workbook, preserving functional spreadsheet colours.</w:t>
            </w:r>
          </w:p>
        </w:tc>
      </w:tr>
      <w:tr>
        <w:tc>
          <w:tcPr>
            <w:tcW w:type="dxa" w:w="648"/>
            <w:tcMar>
              <w:top w:w="100" w:type="dxa"/>
              <w:start w:w="110" w:type="dxa"/>
              <w:bottom w:w="100" w:type="dxa"/>
              <w:end w:w="110" w:type="dxa"/>
            </w:tcMar>
            <w:shd w:fill="B58A2C"/>
          </w:tcPr>
          <w:p>
            <w:pPr>
              <w:jc w:val="center"/>
            </w:pPr>
            <w:r>
              <w:rPr>
                <w:rFonts w:ascii="Gilroy" w:hAnsi="Gilroy" w:eastAsia="Gilroy"/>
                <w:b/>
                <w:i w:val="0"/>
                <w:color w:val="FFFFFF"/>
                <w:sz w:val="22"/>
              </w:rPr>
              <w:t>3</w:t>
            </w:r>
          </w:p>
        </w:tc>
        <w:tc>
          <w:tcPr>
            <w:tcW w:type="dxa" w:w="2592"/>
            <w:tcMar>
              <w:top w:w="100" w:type="dxa"/>
              <w:start w:w="110" w:type="dxa"/>
              <w:bottom w:w="100" w:type="dxa"/>
              <w:end w:w="110" w:type="dxa"/>
            </w:tcMar>
          </w:tcPr>
          <w:p>
            <w:r>
              <w:rPr>
                <w:rFonts w:ascii="Arial" w:hAnsi="Arial" w:eastAsia="Arial"/>
                <w:b/>
                <w:i w:val="0"/>
                <w:color w:val="111111"/>
                <w:sz w:val="18"/>
              </w:rPr>
              <w:t>Recruitment and social</w:t>
            </w:r>
          </w:p>
        </w:tc>
        <w:tc>
          <w:tcPr>
            <w:tcW w:type="dxa" w:w="6192"/>
            <w:tcMar>
              <w:top w:w="100" w:type="dxa"/>
              <w:start w:w="110" w:type="dxa"/>
              <w:bottom w:w="100" w:type="dxa"/>
              <w:end w:w="110" w:type="dxa"/>
            </w:tcMar>
          </w:tcPr>
          <w:p>
            <w:r>
              <w:rPr>
                <w:rFonts w:ascii="Arial" w:hAnsi="Arial" w:eastAsia="Arial"/>
                <w:b w:val="0"/>
                <w:i w:val="0"/>
                <w:color w:val="444444"/>
                <w:sz w:val="18"/>
              </w:rPr>
              <w:t>Recruitment template, social template and sample social visuals.</w:t>
            </w:r>
          </w:p>
        </w:tc>
      </w:tr>
      <w:tr>
        <w:tc>
          <w:tcPr>
            <w:tcW w:type="dxa" w:w="648"/>
            <w:tcMar>
              <w:top w:w="100" w:type="dxa"/>
              <w:start w:w="110" w:type="dxa"/>
              <w:bottom w:w="100" w:type="dxa"/>
              <w:end w:w="110" w:type="dxa"/>
            </w:tcMar>
            <w:shd w:fill="B58A2C"/>
          </w:tcPr>
          <w:p>
            <w:pPr>
              <w:jc w:val="center"/>
            </w:pPr>
            <w:r>
              <w:rPr>
                <w:rFonts w:ascii="Gilroy" w:hAnsi="Gilroy" w:eastAsia="Gilroy"/>
                <w:b/>
                <w:i w:val="0"/>
                <w:color w:val="FFFFFF"/>
                <w:sz w:val="22"/>
              </w:rPr>
              <w:t>4</w:t>
            </w:r>
          </w:p>
        </w:tc>
        <w:tc>
          <w:tcPr>
            <w:tcW w:type="dxa" w:w="2592"/>
            <w:tcMar>
              <w:top w:w="100" w:type="dxa"/>
              <w:start w:w="110" w:type="dxa"/>
              <w:bottom w:w="100" w:type="dxa"/>
              <w:end w:w="110" w:type="dxa"/>
            </w:tcMar>
          </w:tcPr>
          <w:p>
            <w:r>
              <w:rPr>
                <w:rFonts w:ascii="Arial" w:hAnsi="Arial" w:eastAsia="Arial"/>
                <w:b/>
                <w:i w:val="0"/>
                <w:color w:val="111111"/>
                <w:sz w:val="18"/>
              </w:rPr>
              <w:t>Client story family</w:t>
            </w:r>
          </w:p>
        </w:tc>
        <w:tc>
          <w:tcPr>
            <w:tcW w:type="dxa" w:w="6192"/>
            <w:tcMar>
              <w:top w:w="100" w:type="dxa"/>
              <w:start w:w="110" w:type="dxa"/>
              <w:bottom w:w="100" w:type="dxa"/>
              <w:end w:w="110" w:type="dxa"/>
            </w:tcMar>
          </w:tcPr>
          <w:p>
            <w:r>
              <w:rPr>
                <w:rFonts w:ascii="Arial" w:hAnsi="Arial" w:eastAsia="Arial"/>
                <w:b w:val="0"/>
                <w:i w:val="0"/>
                <w:color w:val="444444"/>
                <w:sz w:val="18"/>
              </w:rPr>
              <w:t>Testimonial and case-study template.</w:t>
            </w:r>
          </w:p>
        </w:tc>
      </w:tr>
      <w:tr>
        <w:tc>
          <w:tcPr>
            <w:tcW w:type="dxa" w:w="648"/>
            <w:tcMar>
              <w:top w:w="100" w:type="dxa"/>
              <w:start w:w="110" w:type="dxa"/>
              <w:bottom w:w="100" w:type="dxa"/>
              <w:end w:w="110" w:type="dxa"/>
            </w:tcMar>
            <w:shd w:fill="B58A2C"/>
          </w:tcPr>
          <w:p>
            <w:pPr>
              <w:jc w:val="center"/>
            </w:pPr>
            <w:r>
              <w:rPr>
                <w:rFonts w:ascii="Gilroy" w:hAnsi="Gilroy" w:eastAsia="Gilroy"/>
                <w:b/>
                <w:i w:val="0"/>
                <w:color w:val="FFFFFF"/>
                <w:sz w:val="22"/>
              </w:rPr>
              <w:t>5</w:t>
            </w:r>
          </w:p>
        </w:tc>
        <w:tc>
          <w:tcPr>
            <w:tcW w:type="dxa" w:w="2592"/>
            <w:tcMar>
              <w:top w:w="100" w:type="dxa"/>
              <w:start w:w="110" w:type="dxa"/>
              <w:bottom w:w="100" w:type="dxa"/>
              <w:end w:w="110" w:type="dxa"/>
            </w:tcMar>
          </w:tcPr>
          <w:p>
            <w:r>
              <w:rPr>
                <w:rFonts w:ascii="Arial" w:hAnsi="Arial" w:eastAsia="Arial"/>
                <w:b/>
                <w:i w:val="0"/>
                <w:color w:val="111111"/>
                <w:sz w:val="18"/>
              </w:rPr>
              <w:t>Standards and appendix cleanup</w:t>
            </w:r>
          </w:p>
        </w:tc>
        <w:tc>
          <w:tcPr>
            <w:tcW w:type="dxa" w:w="6192"/>
            <w:tcMar>
              <w:top w:w="100" w:type="dxa"/>
              <w:start w:w="110" w:type="dxa"/>
              <w:bottom w:w="100" w:type="dxa"/>
              <w:end w:w="110" w:type="dxa"/>
            </w:tcMar>
          </w:tcPr>
          <w:p>
            <w:r>
              <w:rPr>
                <w:rFonts w:ascii="Arial" w:hAnsi="Arial" w:eastAsia="Arial"/>
                <w:b w:val="0"/>
                <w:i w:val="0"/>
                <w:color w:val="444444"/>
                <w:sz w:val="18"/>
              </w:rPr>
              <w:t>Update palette terminology across all supporting standards and Brand in Practice.</w:t>
            </w:r>
          </w:p>
        </w:tc>
      </w:tr>
    </w:tbl>
    <w:p>
      <w:pPr>
        <w:keepNext/>
        <w:spacing w:before="200" w:after="120"/>
      </w:pPr>
      <w:r>
        <w:rPr>
          <w:rFonts w:ascii="Gilroy" w:hAnsi="Gilroy" w:eastAsia="Gilroy"/>
          <w:b/>
          <w:i w:val="0"/>
          <w:color w:val="B58A2C"/>
          <w:sz w:val="27"/>
        </w:rPr>
        <w:t>Control recommendation</w:t>
      </w:r>
    </w:p>
    <w:p>
      <w:pPr>
        <w:spacing w:before="0" w:after="80" w:line="269" w:lineRule="auto"/>
      </w:pPr>
      <w:r>
        <w:rPr>
          <w:rFonts w:ascii="Arial" w:hAnsi="Arial" w:eastAsia="Arial"/>
          <w:b w:val="0"/>
          <w:i w:val="0"/>
          <w:color w:val="111111"/>
          <w:sz w:val="20"/>
        </w:rPr>
        <w:t>Do not overwrite the previously approved files. Issue each refreshed item as a new version, visually inspect it, obtain approval, then designate the new file as the controlled master. The Brand Governance and Asset Register should be completed only after the final masters are stored in their permanent server locations.</w:t>
      </w:r>
    </w:p>
    <w:sectPr w:rsidR="00FC693F" w:rsidRPr="0006063C" w:rsidSect="00034616">
      <w:footerReference w:type="default" r:id="rId9"/>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C9C5BD"/>
        <w:sz w:val="16"/>
      </w:rPr>
      <w:t xml:space="preserve">JANKE LLP  |  TEMPLATE COLOUR AUDIT  |  </w:t>
    </w:r>
    <w:r>
      <w:rPr>
        <w:rFonts w:ascii="Arial" w:hAnsi="Arial" w:eastAsia="Arial"/>
        <w:b w:val="0"/>
        <w:i w:val="0"/>
        <w:color w:val="C9C5B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Janke LLP Template Colour Audit</dc:title>
  <dc:subject>Audit of approved brand templates against final black, white and Prairie Gold palette</dc:subject>
  <dc:creator>Janke LLP</dc:creator>
  <cp:keywords>brand, colour audit, templates, prairie gold, governance</cp:keywords>
  <dc:description>generated by python-docx</dc:description>
  <cp:lastModifiedBy/>
  <cp:revision>1</cp:revision>
  <dcterms:created xsi:type="dcterms:W3CDTF">2013-12-23T23:15:00Z</dcterms:created>
  <dcterms:modified xsi:type="dcterms:W3CDTF">2013-12-23T23:15:00Z</dcterms:modified>
  <cp:category/>
</cp:coreProperties>
</file>