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005B5B"/>
          <w:sz w:val="24"/>
        </w:rPr>
        <w:t>JANKE LLP</w:t>
      </w:r>
    </w:p>
    <w:p>
      <w:pPr>
        <w:pStyle w:val="Title"/>
      </w:pPr>
      <w:r>
        <w:t>Memo Standard</w:t>
      </w:r>
    </w:p>
    <w:p>
      <w:r>
        <w:rPr>
          <w:b/>
          <w:color w:val="4B5857"/>
          <w:sz w:val="26"/>
        </w:rPr>
        <w:t>Client-facing and internal professional memoranda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EAF2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05B5B"/>
              </w:rPr>
              <w:t>Purpose</w:t>
            </w:r>
            <w:r>
              <w:br/>
              <w:t>This standard defines how Janke LLP prepares concise, decision-useful memoranda that are technically sound, easy to navigate, and consistent with the firm’s plainspoken, advisory-led brand.</w:t>
            </w:r>
          </w:p>
        </w:tc>
      </w:tr>
    </w:tbl>
    <w:p>
      <w:pPr>
        <w:pStyle w:val="SmallNote"/>
      </w:pPr>
      <w:r>
        <w:t>Status: Approved framework for implementation</w:t>
      </w:r>
    </w:p>
    <w:p>
      <w:pPr>
        <w:pStyle w:val="Heading1"/>
      </w:pPr>
      <w:r>
        <w:t>1. When to use a memo</w:t>
      </w:r>
    </w:p>
    <w:p>
      <w:pPr>
        <w:pStyle w:val="ListBullet"/>
      </w:pPr>
      <w:r>
        <w:t>Use a memo when the reader needs analysis, advice, a recommendation, or a record of a decision in a structured format.</w:t>
      </w:r>
    </w:p>
    <w:p>
      <w:pPr>
        <w:pStyle w:val="ListBullet"/>
      </w:pPr>
      <w:r>
        <w:t>Use a letter when the communication is primarily correspondence directed to an external recipient and does not require a substantial analytical framework.</w:t>
      </w:r>
    </w:p>
    <w:p>
      <w:pPr>
        <w:pStyle w:val="ListBullet"/>
      </w:pPr>
      <w:r>
        <w:t>Use an advisory report when the matter requires extended analysis, multiple workstreams, appendices, detailed modelling, or a formal executive summary.</w:t>
      </w:r>
    </w:p>
    <w:p>
      <w:pPr>
        <w:pStyle w:val="Heading1"/>
      </w:pPr>
      <w:r>
        <w:t>2. Core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3E2"/>
          <w:left w:val="single" w:sz="6" w:color="D9E3E2"/>
          <w:bottom w:val="single" w:sz="6" w:color="D9E3E2"/>
          <w:right w:val="single" w:sz="6" w:color="D9E3E2"/>
          <w:insideH w:val="single" w:sz="6" w:color="D9E3E2"/>
          <w:insideV w:val="single" w:sz="6" w:color="D9E3E2"/>
        </w:tblBorders>
      </w:tblPr>
      <w:tblGrid>
        <w:gridCol w:w="2736"/>
        <w:gridCol w:w="6984"/>
      </w:tblGrid>
      <w:tr>
        <w:trPr>
          <w:tblHeader w:val="true"/>
        </w:trPr>
        <w:tc>
          <w:tcPr>
            <w:tcW w:type="dxa" w:w="4939"/>
            <w:shd w:fill="005B5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939"/>
            <w:shd w:fill="005B5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27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Lead with the answer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State the conclusion, recommendation, or decision required near the beginning. Do not make the reader search for it.</w:t>
            </w:r>
          </w:p>
        </w:tc>
      </w:tr>
      <w:tr>
        <w:tc>
          <w:tcPr>
            <w:tcW w:type="dxa" w:w="27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Make the issue understandable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Explain technical matters in plain language without diluting accuracy.</w:t>
            </w:r>
          </w:p>
        </w:tc>
      </w:tr>
      <w:tr>
        <w:tc>
          <w:tcPr>
            <w:tcW w:type="dxa" w:w="27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Separate facts, assumptions, analysis, and recommendations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The reader should be able to distinguish what is known, what is assumed, how Janke LLP assessed the matter, and what should happen next.</w:t>
            </w:r>
          </w:p>
        </w:tc>
      </w:tr>
      <w:tr>
        <w:tc>
          <w:tcPr>
            <w:tcW w:type="dxa" w:w="27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Write for action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End with specific decisions, responsibilities, deadlines, or next steps.</w:t>
            </w:r>
          </w:p>
        </w:tc>
      </w:tr>
      <w:tr>
        <w:tc>
          <w:tcPr>
            <w:tcW w:type="dxa" w:w="27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Use proportionate detail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 short issue should remain short. Complexity should drive length, not habit.</w:t>
            </w:r>
          </w:p>
        </w:tc>
      </w:tr>
    </w:tbl>
    <w:p>
      <w:pPr>
        <w:pStyle w:val="Heading1"/>
      </w:pPr>
      <w:r>
        <w:t>3. Standard memo structure</w:t>
      </w:r>
    </w:p>
    <w:p>
      <w:pPr>
        <w:ind w:left="115" w:hanging="115"/>
      </w:pPr>
      <w:r>
        <w:rPr>
          <w:b/>
          <w:color w:val="005B5B"/>
        </w:rPr>
        <w:t xml:space="preserve">1. Memo header: </w:t>
      </w:r>
      <w:r>
        <w:t>To, From, Date, Subject, and optional Confidentiality or File reference.</w:t>
      </w:r>
    </w:p>
    <w:p>
      <w:pPr>
        <w:ind w:left="115" w:hanging="115"/>
      </w:pPr>
      <w:r>
        <w:rPr>
          <w:b/>
          <w:color w:val="005B5B"/>
        </w:rPr>
        <w:t xml:space="preserve">2. Purpose / decision required: </w:t>
      </w:r>
      <w:r>
        <w:t>One short paragraph stating why the memo exists and what the reader should understand, decide, or approve.</w:t>
      </w:r>
    </w:p>
    <w:p>
      <w:pPr>
        <w:ind w:left="115" w:hanging="115"/>
      </w:pPr>
      <w:r>
        <w:rPr>
          <w:b/>
          <w:color w:val="005B5B"/>
        </w:rPr>
        <w:t xml:space="preserve">3. Executive answer: </w:t>
      </w:r>
      <w:r>
        <w:t>A concise recommendation or conclusion. For very short memoranda, this may be combined with the purpose.</w:t>
      </w:r>
    </w:p>
    <w:p>
      <w:pPr>
        <w:ind w:left="115" w:hanging="115"/>
      </w:pPr>
      <w:r>
        <w:rPr>
          <w:b/>
          <w:color w:val="005B5B"/>
        </w:rPr>
        <w:t xml:space="preserve">4. Background and relevant facts: </w:t>
      </w:r>
      <w:r>
        <w:t>Only the facts necessary to understand the issue. Identify material assumptions and information limitations.</w:t>
      </w:r>
    </w:p>
    <w:p>
      <w:pPr>
        <w:ind w:left="115" w:hanging="115"/>
      </w:pPr>
      <w:r>
        <w:rPr>
          <w:b/>
          <w:color w:val="005B5B"/>
        </w:rPr>
        <w:t xml:space="preserve">5. Analysis: </w:t>
      </w:r>
      <w:r>
        <w:t>Organize by question or decision point. Use meaningful headings, short paragraphs, tables, or numbered steps where they improve comprehension.</w:t>
      </w:r>
    </w:p>
    <w:p>
      <w:pPr>
        <w:ind w:left="115" w:hanging="115"/>
      </w:pPr>
      <w:r>
        <w:rPr>
          <w:b/>
          <w:color w:val="005B5B"/>
        </w:rPr>
        <w:t xml:space="preserve">6. Recommendation: </w:t>
      </w:r>
      <w:r>
        <w:t>State the preferred course of action and the reasons it is preferred. Identify significant alternatives where useful.</w:t>
      </w:r>
    </w:p>
    <w:p>
      <w:pPr>
        <w:ind w:left="115" w:hanging="115"/>
      </w:pPr>
      <w:r>
        <w:rPr>
          <w:b/>
          <w:color w:val="005B5B"/>
        </w:rPr>
        <w:t xml:space="preserve">7. Next steps: </w:t>
      </w:r>
      <w:r>
        <w:t>List responsibilities, deliverables, approvals, and timing.</w:t>
      </w:r>
    </w:p>
    <w:p>
      <w:pPr>
        <w:ind w:left="115" w:hanging="115"/>
      </w:pPr>
      <w:r>
        <w:rPr>
          <w:b/>
          <w:color w:val="005B5B"/>
        </w:rPr>
        <w:t xml:space="preserve">8. Limitations / reliance: </w:t>
      </w:r>
      <w:r>
        <w:t>Include technical limitations, scope boundaries, valuation caveats, or reliance language when applicable.</w:t>
      </w:r>
    </w:p>
    <w:p>
      <w:pPr>
        <w:ind w:left="115" w:hanging="115"/>
      </w:pPr>
      <w:r>
        <w:rPr>
          <w:b/>
          <w:color w:val="005B5B"/>
        </w:rPr>
        <w:t xml:space="preserve">9. Appendices: </w:t>
      </w:r>
      <w:r>
        <w:t>Use only where supporting detail would interrupt the main narrative.</w:t>
      </w:r>
    </w:p>
    <w:p>
      <w:pPr>
        <w:pStyle w:val="Heading1"/>
      </w:pPr>
      <w:r>
        <w:t>4. Memo header standard</w:t>
      </w:r>
    </w:p>
    <w:p>
      <w:r>
        <w:t>The memo header should be compact, consistent, and visually separate from the body without looking like a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6DFDD"/>
          <w:left w:val="single" w:sz="5" w:color="D6DFDD"/>
          <w:bottom w:val="single" w:sz="5" w:color="D6DFDD"/>
          <w:right w:val="single" w:sz="5" w:color="D6DFDD"/>
          <w:insideH w:val="single" w:sz="5" w:color="D6DFDD"/>
          <w:insideV w:val="single" w:sz="5" w:color="D6DFDD"/>
        </w:tblBorders>
      </w:tblPr>
      <w:tblGrid>
        <w:gridCol w:w="1512"/>
        <w:gridCol w:w="8208"/>
      </w:tblGrid>
      <w:tr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  <w:shd w:fill="EAF2EF"/>
          </w:tcPr>
          <w:p>
            <w:r>
              <w:rPr>
                <w:b/>
                <w:color w:val="005B5B"/>
              </w:rPr>
              <w:t>TO</w:t>
            </w:r>
          </w:p>
        </w:tc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[Recipient name and title]</w:t>
            </w:r>
          </w:p>
        </w:tc>
      </w:tr>
      <w:tr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  <w:shd w:fill="EAF2EF"/>
          </w:tcPr>
          <w:p>
            <w:r>
              <w:rPr>
                <w:b/>
                <w:color w:val="005B5B"/>
              </w:rPr>
              <w:t>FROM</w:t>
            </w:r>
          </w:p>
        </w:tc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[Author name, credentials and title]</w:t>
            </w:r>
          </w:p>
        </w:tc>
      </w:tr>
      <w:tr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  <w:shd w:fill="EAF2EF"/>
          </w:tcPr>
          <w:p>
            <w:r>
              <w:rPr>
                <w:b/>
                <w:color w:val="005B5B"/>
              </w:rPr>
              <w:t>DATE</w:t>
            </w:r>
          </w:p>
        </w:tc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[Month DD, YYYY]</w:t>
            </w:r>
          </w:p>
        </w:tc>
      </w:tr>
      <w:tr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  <w:shd w:fill="EAF2EF"/>
          </w:tcPr>
          <w:p>
            <w:r>
              <w:rPr>
                <w:b/>
                <w:color w:val="005B5B"/>
              </w:rPr>
              <w:t>SUBJECT</w:t>
            </w:r>
          </w:p>
        </w:tc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[Specific, decision-oriented subject]</w:t>
            </w:r>
          </w:p>
        </w:tc>
      </w:tr>
      <w:tr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  <w:shd w:fill="EAF2EF"/>
          </w:tcPr>
          <w:p>
            <w:r>
              <w:rPr>
                <w:b/>
                <w:color w:val="005B5B"/>
              </w:rPr>
              <w:t>FILE / CONFIDENTIALITY</w:t>
            </w:r>
          </w:p>
        </w:tc>
        <w:tc>
          <w:tcPr>
            <w:tcW w:type="dxa" w:w="493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[Optional file number or confidentiality designation]</w:t>
            </w:r>
          </w:p>
        </w:tc>
      </w:tr>
    </w:tbl>
    <w:p>
      <w:pPr>
        <w:pStyle w:val="Heading1"/>
      </w:pPr>
      <w:r>
        <w:t>5. Writing and tone</w:t>
      </w:r>
    </w:p>
    <w:p>
      <w:pPr>
        <w:pStyle w:val="ListBullet"/>
      </w:pPr>
      <w:r>
        <w:t>Professional and plainspoken. Use technical terminology only where it adds precision, and define it when the intended reader may not know it.</w:t>
      </w:r>
    </w:p>
    <w:p>
      <w:pPr>
        <w:pStyle w:val="ListBullet"/>
      </w:pPr>
      <w:r>
        <w:t>Direct but not abrupt. Prefer “We recommend…” and “The practical effect is…” over long, defensive introductions.</w:t>
      </w:r>
    </w:p>
    <w:p>
      <w:pPr>
        <w:pStyle w:val="ListBullet"/>
      </w:pPr>
      <w:r>
        <w:t>Constructive and opportunity-focused. Explain what can be learned, improved, protected, built, or decided.</w:t>
      </w:r>
    </w:p>
    <w:p>
      <w:pPr>
        <w:pStyle w:val="ListBullet"/>
      </w:pPr>
      <w:r>
        <w:t>Objective and supportable. Distinguish conclusions from assumptions, estimates, and matters requiring confirmation.</w:t>
      </w:r>
    </w:p>
    <w:p>
      <w:pPr>
        <w:pStyle w:val="ListBullet"/>
      </w:pPr>
      <w:r>
        <w:t>Client-centred. Refer to the reader’s objectives and circumstances rather than presenting a generic technical essay.</w:t>
      </w:r>
    </w:p>
    <w:p>
      <w:pPr>
        <w:pStyle w:val="Heading1"/>
      </w:pPr>
      <w:r>
        <w:t>6. Formatting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3E2"/>
          <w:left w:val="single" w:sz="6" w:color="D9E3E2"/>
          <w:bottom w:val="single" w:sz="6" w:color="D9E3E2"/>
          <w:right w:val="single" w:sz="6" w:color="D9E3E2"/>
          <w:insideH w:val="single" w:sz="6" w:color="D9E3E2"/>
          <w:insideV w:val="single" w:sz="6" w:color="D9E3E2"/>
        </w:tblBorders>
      </w:tblPr>
      <w:tblGrid>
        <w:gridCol w:w="2232"/>
        <w:gridCol w:w="7488"/>
      </w:tblGrid>
      <w:tr>
        <w:trPr>
          <w:tblHeader w:val="true"/>
        </w:trPr>
        <w:tc>
          <w:tcPr>
            <w:tcW w:type="dxa" w:w="4939"/>
            <w:shd w:fill="2331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939"/>
            <w:shd w:fill="2331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Page size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Letter, portrait, with balanced margins.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Body type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Arial 10 pt for formal memoranda; 10.5 or 11 pt may be used where the content is less dense.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Headings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Arial bold. Use no more than three heading levels in the main memo.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Paragraphs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Short and focused. Avoid dense blocks; generally keep paragraphs under eight lines.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Colour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Charcoal and restrained deep teal only. Formal technical memoranda should remain predominantly black and white.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Tables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Use for comparisons, timelines, options, responsibilities, and quantified analysis. Keep headers clear and repeat them across pages.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Page numbering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Centre the page number in the footer for multi-page memoranda. The compact Janke LLP mark may appear at lower right where appropriate.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>Header / footer</w:t>
            </w:r>
          </w:p>
        </w:tc>
        <w:tc>
          <w:tcPr>
            <w:tcW w:type="dxa" w:w="748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Use the approved memo template. Do not attach the campaign line to the logo.</w:t>
            </w:r>
          </w:p>
        </w:tc>
      </w:tr>
    </w:tbl>
    <w:p>
      <w:pPr>
        <w:pStyle w:val="Heading1"/>
      </w:pPr>
      <w:r>
        <w:t>7. Technical and professional review</w:t>
      </w:r>
    </w:p>
    <w:p>
      <w:pPr>
        <w:pStyle w:val="ListBullet"/>
      </w:pPr>
      <w:r>
        <w:t>The author is responsible for factual accuracy, completeness, and consistency with the agreed scope.</w:t>
      </w:r>
    </w:p>
    <w:p>
      <w:pPr>
        <w:pStyle w:val="ListBullet"/>
      </w:pPr>
      <w:r>
        <w:t>Technical accounting, tax, assurance, valuation, or legal-adjacent content must be reviewed by the appropriate subject-matter expert.</w:t>
      </w:r>
    </w:p>
    <w:p>
      <w:pPr>
        <w:pStyle w:val="ListBullet"/>
      </w:pPr>
      <w:r>
        <w:t>Sensitive, high-profile, or major client-positioning memoranda require approval under the firm’s regular governance process.</w:t>
      </w:r>
    </w:p>
    <w:p>
      <w:pPr>
        <w:pStyle w:val="ListBullet"/>
      </w:pPr>
      <w:r>
        <w:t>AI-assisted drafting is permitted only within the approved framework: human review is mandatory, technical claims must be verified, and confidential information must be protected.</w:t>
      </w:r>
    </w:p>
    <w:p>
      <w:pPr>
        <w:pStyle w:val="Heading1"/>
      </w:pPr>
      <w:r>
        <w:t>8. Release checklist</w:t>
      </w:r>
    </w:p>
    <w:p>
      <w:pPr>
        <w:ind w:left="173" w:hanging="173"/>
      </w:pPr>
      <w:r>
        <w:rPr>
          <w:b/>
        </w:rPr>
        <w:t xml:space="preserve">☐ </w:t>
      </w:r>
      <w:r>
        <w:t>The purpose and decision required are clear on the first page.</w:t>
      </w:r>
    </w:p>
    <w:p>
      <w:pPr>
        <w:ind w:left="173" w:hanging="173"/>
      </w:pPr>
      <w:r>
        <w:rPr>
          <w:b/>
        </w:rPr>
        <w:t xml:space="preserve">☐ </w:t>
      </w:r>
      <w:r>
        <w:t>The recommendation or conclusion is easy to find.</w:t>
      </w:r>
    </w:p>
    <w:p>
      <w:pPr>
        <w:ind w:left="173" w:hanging="173"/>
      </w:pPr>
      <w:r>
        <w:rPr>
          <w:b/>
        </w:rPr>
        <w:t xml:space="preserve">☐ </w:t>
      </w:r>
      <w:r>
        <w:t>Facts, assumptions, analysis, and recommendations are clearly distinguished.</w:t>
      </w:r>
    </w:p>
    <w:p>
      <w:pPr>
        <w:ind w:left="173" w:hanging="173"/>
      </w:pPr>
      <w:r>
        <w:rPr>
          <w:b/>
        </w:rPr>
        <w:t xml:space="preserve">☐ </w:t>
      </w:r>
      <w:r>
        <w:t>Dates, names, amounts, tax references, and calculations have been checked.</w:t>
      </w:r>
    </w:p>
    <w:p>
      <w:pPr>
        <w:ind w:left="173" w:hanging="173"/>
      </w:pPr>
      <w:r>
        <w:rPr>
          <w:b/>
        </w:rPr>
        <w:t xml:space="preserve">☐ </w:t>
      </w:r>
      <w:r>
        <w:t>The memo identifies material limitations and required confirmations.</w:t>
      </w:r>
    </w:p>
    <w:p>
      <w:pPr>
        <w:ind w:left="173" w:hanging="173"/>
      </w:pPr>
      <w:r>
        <w:rPr>
          <w:b/>
        </w:rPr>
        <w:t xml:space="preserve">☐ </w:t>
      </w:r>
      <w:r>
        <w:t>The next steps specify who will do what and by when.</w:t>
      </w:r>
    </w:p>
    <w:p>
      <w:pPr>
        <w:ind w:left="173" w:hanging="173"/>
      </w:pPr>
      <w:r>
        <w:rPr>
          <w:b/>
        </w:rPr>
        <w:t xml:space="preserve">☐ </w:t>
      </w:r>
      <w:r>
        <w:t>The appropriate technical and governance approvals have been obtained.</w:t>
      </w:r>
    </w:p>
    <w:p>
      <w:pPr>
        <w:ind w:left="173" w:hanging="173"/>
      </w:pPr>
      <w:r>
        <w:rPr>
          <w:b/>
        </w:rPr>
        <w:t xml:space="preserve">☐ </w:t>
      </w:r>
      <w:r>
        <w:t>Formatting, page numbering, attachments, and confidentiality markings are correct.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877"/>
        <w:sz w:val="16"/>
      </w:rPr>
      <w:t>Janke LLP | Memo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5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331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5B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331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5963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Memo Standard</dc:title>
  <dc:subject>Brand implementation standard for professional memoranda</dc:subject>
  <dc:creator>Janke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