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single" w:sz="10" w:space="2" w:color="B58A2C"/>
        </w:pBdr>
      </w:pPr>
      <w:r>
        <w:t>One-Page Client Handout Standard</w:t>
      </w:r>
    </w:p>
    <w:p>
      <w:pPr>
        <w:spacing w:after="80" w:line="259" w:lineRule="auto"/>
      </w:pPr>
      <w:r>
        <w:rPr>
          <w:b/>
          <w:color w:val="111111"/>
        </w:rPr>
        <w:t>Janke LLP</w:t>
      </w:r>
      <w:r>
        <w:rPr>
          <w:color w:val="5F666A"/>
        </w:rPr>
        <w:t xml:space="preserve">  |  Client-facing information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936"/>
            <w:shd w:fill="F7F5F0" w:val="clear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rFonts w:ascii="Gilroy" w:hAnsi="Gilroy"/>
                <w:b/>
                <w:color w:val="B58A2C"/>
              </w:rPr>
              <w:t>Purpose</w:t>
            </w:r>
            <w:r>
              <w:rPr>
                <w:rFonts w:ascii="Arial" w:hAnsi="Arial"/>
                <w:b w:val="0"/>
                <w:color w:val="111111"/>
              </w:rPr>
              <w:br/>
              <w:t>Create a single-page document that helps a client understand one topic quickly, identify the practical opportunity or decision, and know the next useful step.</w:t>
            </w:r>
          </w:p>
        </w:tc>
      </w:tr>
    </w:tbl>
    <w:p>
      <w:pPr>
        <w:pStyle w:val="Heading1"/>
        <w:keepNext/>
        <w:spacing w:before="200" w:after="100"/>
      </w:pPr>
      <w:r>
        <w:t>1. When to use it</w:t>
      </w:r>
    </w:p>
    <w:p>
      <w:pPr>
        <w:pStyle w:val="ListBullet"/>
        <w:spacing w:after="40" w:line="252" w:lineRule="auto"/>
      </w:pPr>
      <w:r>
        <w:t>Client education on one focused issue, deadline, opportunity, or decision.</w:t>
      </w:r>
    </w:p>
    <w:p>
      <w:pPr>
        <w:pStyle w:val="ListBullet"/>
        <w:spacing w:after="40" w:line="252" w:lineRule="auto"/>
      </w:pPr>
      <w:r>
        <w:t>A concise summary accompanying a meeting, email, proposal, campaign, or longer advisory document.</w:t>
      </w:r>
    </w:p>
    <w:p>
      <w:pPr>
        <w:pStyle w:val="ListBullet"/>
        <w:spacing w:after="40" w:line="252" w:lineRule="auto"/>
      </w:pPr>
      <w:r>
        <w:t>A practical explainer that should be understood in roughly two minutes.</w:t>
      </w:r>
    </w:p>
    <w:p>
      <w:pPr>
        <w:pStyle w:val="ListBullet"/>
        <w:spacing w:after="40" w:line="252" w:lineRule="auto"/>
      </w:pPr>
      <w:r>
        <w:t>Not a substitute for a formal advisory report, engagement letter, tax opinion, or detailed technical memorandum.</w:t>
      </w:r>
    </w:p>
    <w:p>
      <w:pPr>
        <w:pStyle w:val="Heading1"/>
        <w:keepNext/>
        <w:spacing w:before="200" w:after="100"/>
      </w:pPr>
      <w:r>
        <w:t>2. Required content structure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"/>
        <w:gridCol w:w="2232"/>
        <w:gridCol w:w="6768"/>
      </w:tblGrid>
      <w:tr>
        <w:trPr>
          <w:tblHeader w:val="true"/>
        </w:trPr>
        <w:tc>
          <w:tcPr>
            <w:tcW w:type="dxa" w:w="3312"/>
            <w:shd w:fill="111111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312"/>
            <w:shd w:fill="111111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Element</w:t>
            </w:r>
          </w:p>
        </w:tc>
        <w:tc>
          <w:tcPr>
            <w:tcW w:type="dxa" w:w="3312"/>
            <w:shd w:fill="111111" w:val="clear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b/>
                <w:color w:val="FFFFFF"/>
              </w:rPr>
              <w:t>Standard</w:t>
            </w:r>
          </w:p>
        </w:tc>
      </w:tr>
      <w:tr>
        <w:tc>
          <w:tcPr>
            <w:tcW w:type="dxa" w:w="6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pPr>
              <w:jc w:val="center"/>
            </w:pPr>
            <w:r>
              <w:rPr>
                <w:color w:val="111111"/>
              </w:rPr>
              <w:t>1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Clear title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State the topic in plain language. Prefer an outcome, question, or client situation over a technical label.</w:t>
            </w:r>
          </w:p>
        </w:tc>
      </w:tr>
      <w:tr>
        <w:tc>
          <w:tcPr>
            <w:tcW w:type="dxa" w:w="6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pPr>
              <w:jc w:val="center"/>
            </w:pPr>
            <w:r>
              <w:rPr>
                <w:color w:val="111111"/>
              </w:rPr>
              <w:t>2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Why it matters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Explain the relevance in one or two short sentences.</w:t>
            </w:r>
          </w:p>
        </w:tc>
      </w:tr>
      <w:tr>
        <w:tc>
          <w:tcPr>
            <w:tcW w:type="dxa" w:w="6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pPr>
              <w:jc w:val="center"/>
            </w:pPr>
            <w:r>
              <w:rPr>
                <w:color w:val="111111"/>
              </w:rPr>
              <w:t>3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What to know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Present three to five essential points, steps, choices, or considerations.</w:t>
            </w:r>
          </w:p>
        </w:tc>
      </w:tr>
      <w:tr>
        <w:tc>
          <w:tcPr>
            <w:tcW w:type="dxa" w:w="6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pPr>
              <w:jc w:val="center"/>
            </w:pPr>
            <w:r>
              <w:rPr>
                <w:color w:val="111111"/>
              </w:rPr>
              <w:t>4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What better could look like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Describe the practical improvement, learning, growth, or opportunity available to the client.</w:t>
            </w:r>
          </w:p>
        </w:tc>
      </w:tr>
      <w:tr>
        <w:tc>
          <w:tcPr>
            <w:tcW w:type="dxa" w:w="6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pPr>
              <w:jc w:val="center"/>
            </w:pPr>
            <w:r>
              <w:rPr>
                <w:color w:val="111111"/>
              </w:rPr>
              <w:t>5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Next step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End with one low-pressure action, such as a discussion, checklist, document request, or decision.</w:t>
            </w:r>
          </w:p>
        </w:tc>
      </w:tr>
      <w:tr>
        <w:tc>
          <w:tcPr>
            <w:tcW w:type="dxa" w:w="64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pPr>
              <w:jc w:val="center"/>
            </w:pPr>
            <w:r>
              <w:rPr>
                <w:color w:val="111111"/>
              </w:rPr>
              <w:t>6</w:t>
            </w:r>
          </w:p>
        </w:tc>
        <w:tc>
          <w:tcPr>
            <w:tcW w:type="dxa" w:w="2232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Context or disclaimer</w:t>
            </w:r>
          </w:p>
        </w:tc>
        <w:tc>
          <w:tcPr>
            <w:tcW w:type="dxa" w:w="6768"/>
            <w:tcMar>
              <w:top w:w="75" w:type="dxa"/>
              <w:start w:w="100" w:type="dxa"/>
              <w:bottom w:w="75" w:type="dxa"/>
              <w:end w:w="10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Include only the minimum technical qualification needed to prevent misunderstanding.</w:t>
            </w:r>
          </w:p>
        </w:tc>
      </w:tr>
    </w:tbl>
    <w:p>
      <w:pPr>
        <w:pStyle w:val="Heading1"/>
        <w:keepNext/>
        <w:spacing w:before="200" w:after="100"/>
      </w:pPr>
      <w:r>
        <w:t>3. Writing standard</w:t>
      </w:r>
    </w:p>
    <w:p>
      <w:pPr>
        <w:pStyle w:val="ListBullet"/>
        <w:spacing w:after="40" w:line="252" w:lineRule="auto"/>
      </w:pPr>
      <w:r>
        <w:t>Use plain language, short sentences, and informative headings.</w:t>
      </w:r>
    </w:p>
    <w:p>
      <w:pPr>
        <w:pStyle w:val="ListBullet"/>
        <w:spacing w:after="40" w:line="252" w:lineRule="auto"/>
      </w:pPr>
      <w:r>
        <w:t>Lead with the client’s situation and opportunity, not with Janke LLP credentials or technical background.</w:t>
      </w:r>
    </w:p>
    <w:p>
      <w:pPr>
        <w:pStyle w:val="ListBullet"/>
        <w:spacing w:after="40" w:line="252" w:lineRule="auto"/>
      </w:pPr>
      <w:r>
        <w:t>Explain technical terms when they are necessary; avoid unexplained abbreviations.</w:t>
      </w:r>
    </w:p>
    <w:p>
      <w:pPr>
        <w:pStyle w:val="ListBullet"/>
        <w:spacing w:after="40" w:line="252" w:lineRule="auto"/>
      </w:pPr>
      <w:r>
        <w:t>Use active voice and direct statements. Keep the tone practical, thoughtful, and low-pressure.</w:t>
      </w:r>
    </w:p>
    <w:p>
      <w:pPr>
        <w:pStyle w:val="ListBullet"/>
        <w:spacing w:after="40" w:line="252" w:lineRule="auto"/>
      </w:pPr>
      <w:r>
        <w:t>Focus calls to action on learning, growth, improvement, possibility, and how Janke LLP can help realize it.</w:t>
      </w:r>
    </w:p>
    <w:p>
      <w:pPr>
        <w:pStyle w:val="ListBullet"/>
        <w:spacing w:after="40" w:line="252" w:lineRule="auto"/>
      </w:pPr>
      <w:r>
        <w:t>Target approximately 250 to 450 words, excluding contact details and required disclaimers.</w:t>
      </w:r>
    </w:p>
    <w:p>
      <w:pPr>
        <w:pStyle w:val="Heading1"/>
        <w:keepNext/>
        <w:spacing w:before="200" w:after="100"/>
      </w:pPr>
      <w:r>
        <w:t>4. Visual and layout standard</w:t>
      </w:r>
    </w:p>
    <w:p>
      <w:pPr>
        <w:pStyle w:val="ListBullet"/>
        <w:spacing w:after="40" w:line="252" w:lineRule="auto"/>
      </w:pPr>
      <w:r>
        <w:t>Letter-size portrait, one page only.</w:t>
      </w:r>
    </w:p>
    <w:p>
      <w:pPr>
        <w:pStyle w:val="ListBullet"/>
        <w:spacing w:after="40" w:line="252" w:lineRule="auto"/>
      </w:pPr>
      <w:r>
        <w:t>Clean, modern, minimal layout with generous negative space.</w:t>
      </w:r>
    </w:p>
    <w:p>
      <w:pPr>
        <w:pStyle w:val="ListBullet"/>
        <w:spacing w:after="40" w:line="252" w:lineRule="auto"/>
      </w:pPr>
      <w:r>
        <w:t>Use near-black and white as the dominant palette, with Prairie Gold used selectively (generally no more than 5–10%) for headings, rules, markers, or key emphasis. Warm white and stone are optional supporting neutrals. Approved handout templates may use a full black background with white copy and restrained Prairie Gold accents.</w:t>
      </w:r>
    </w:p>
    <w:p>
      <w:pPr>
        <w:pStyle w:val="ListBullet"/>
        <w:spacing w:after="40" w:line="252" w:lineRule="auto"/>
      </w:pPr>
      <w:r>
        <w:t>Use Gilroy for display headings where available and Arial for body text and operational production. Manrope is the preferred web/digital fallback, not the default Word font.</w:t>
      </w:r>
    </w:p>
    <w:p>
      <w:pPr>
        <w:pStyle w:val="ListBullet"/>
        <w:spacing w:after="40" w:line="252" w:lineRule="auto"/>
      </w:pPr>
      <w:r>
        <w:t>Use one strong visual hierarchy: title, short introduction, three to five content blocks, and one next-step area.</w:t>
      </w:r>
    </w:p>
    <w:p>
      <w:pPr>
        <w:pStyle w:val="ListBullet"/>
        <w:spacing w:after="40" w:line="252" w:lineRule="auto"/>
      </w:pPr>
      <w:r>
        <w:t>Use icons, a small diagram, a short table, or a single supporting image only when it makes the information faster to understand.</w:t>
      </w:r>
    </w:p>
    <w:p>
      <w:pPr>
        <w:pStyle w:val="ListBullet"/>
        <w:spacing w:after="40" w:line="252" w:lineRule="auto"/>
      </w:pPr>
      <w:r>
        <w:t>Avoid dense grids, decorative clutter, rustic clichés, excessive stock photography, and text smaller than 10 pt.</w:t>
      </w:r>
    </w:p>
    <w:p>
      <w:pPr>
        <w:pStyle w:val="Heading1"/>
        <w:keepNext/>
        <w:spacing w:before="200" w:after="100"/>
      </w:pPr>
      <w:r>
        <w:t>5. Content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4968"/>
            <w:shd w:fill="11111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Control</w:t>
            </w:r>
          </w:p>
        </w:tc>
        <w:tc>
          <w:tcPr>
            <w:tcW w:type="dxa" w:w="4968"/>
            <w:shd w:fill="111111" w:val="clea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b/>
                <w:color w:val="FFFFFF"/>
              </w:rPr>
              <w:t>Requirement</w:t>
            </w:r>
          </w:p>
        </w:tc>
      </w:tr>
      <w:t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5F0" w:val="clear"/>
          </w:tcPr>
          <w:p>
            <w:r>
              <w:rPr>
                <w:color w:val="111111"/>
              </w:rPr>
              <w:t>Technical accuracy</w:t>
            </w:r>
          </w:p>
        </w:tc>
        <w:tc>
          <w:tcPr>
            <w:tcW w:type="dxa" w:w="7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5F0" w:val="clear"/>
          </w:tcPr>
          <w:p>
            <w:r>
              <w:rPr>
                <w:color w:val="111111"/>
              </w:rPr>
              <w:t>Accounting, tax, assurance, and legal-adjacent claims require subject-matter review.</w:t>
            </w:r>
          </w:p>
        </w:tc>
      </w:tr>
      <w:t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Client outcomes</w:t>
            </w:r>
          </w:p>
        </w:tc>
        <w:tc>
          <w:tcPr>
            <w:tcW w:type="dxa" w:w="7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Use results only when supportable, authorized, and presented with appropriate context.</w:t>
            </w:r>
          </w:p>
        </w:tc>
      </w:tr>
      <w:t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5F0" w:val="clear"/>
          </w:tcPr>
          <w:p>
            <w:r>
              <w:rPr>
                <w:color w:val="111111"/>
              </w:rPr>
              <w:t>Confidentiality</w:t>
            </w:r>
          </w:p>
        </w:tc>
        <w:tc>
          <w:tcPr>
            <w:tcW w:type="dxa" w:w="7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5F0" w:val="clear"/>
          </w:tcPr>
          <w:p>
            <w:r>
              <w:rPr>
                <w:color w:val="111111"/>
              </w:rPr>
              <w:t>Do not include identifying client information without project-specific written consent.</w:t>
            </w:r>
          </w:p>
        </w:tc>
      </w:tr>
      <w:t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Accessibility</w:t>
            </w:r>
          </w:p>
        </w:tc>
        <w:tc>
          <w:tcPr>
            <w:tcW w:type="dxa" w:w="7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FFFFF" w:val="clear"/>
          </w:tcPr>
          <w:p>
            <w:r>
              <w:rPr>
                <w:color w:val="111111"/>
              </w:rPr>
              <w:t>Maintain readable type, adequate contrast, descriptive image text where applicable, and do not rely on colour alone.</w:t>
            </w:r>
          </w:p>
        </w:tc>
      </w:tr>
      <w:tr>
        <w:tc>
          <w:tcPr>
            <w:tcW w:type="dxa" w:w="2448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5F0" w:val="clear"/>
          </w:tcPr>
          <w:p>
            <w:r>
              <w:rPr>
                <w:color w:val="111111"/>
              </w:rPr>
              <w:t>AI assistance</w:t>
            </w:r>
          </w:p>
        </w:tc>
        <w:tc>
          <w:tcPr>
            <w:tcW w:type="dxa" w:w="7200"/>
            <w:tcMar>
              <w:top w:w="80" w:type="dxa"/>
              <w:start w:w="110" w:type="dxa"/>
              <w:bottom w:w="80" w:type="dxa"/>
              <w:end w:w="110" w:type="dxa"/>
            </w:tcMar>
            <w:vAlign w:val="center"/>
            <w:shd w:fill="F7F5F0" w:val="clear"/>
          </w:tcPr>
          <w:p>
            <w:r>
              <w:rPr>
                <w:color w:val="111111"/>
              </w:rPr>
              <w:t>AI may support drafting and adaptation, but human review and final accountability are required.</w:t>
            </w:r>
          </w:p>
        </w:tc>
      </w:tr>
    </w:tbl>
    <w:p>
      <w:pPr>
        <w:pStyle w:val="Heading1"/>
        <w:keepNext/>
        <w:spacing w:before="200" w:after="100"/>
      </w:pPr>
      <w:r>
        <w:t>6. Recommended content patterns</w:t>
      </w:r>
    </w:p>
    <w:p>
      <w:pPr>
        <w:spacing w:after="80" w:line="259" w:lineRule="auto"/>
      </w:pPr>
      <w:r>
        <w:rPr>
          <w:b/>
        </w:rPr>
        <w:t xml:space="preserve">Decision guide: </w:t>
      </w:r>
      <w:r>
        <w:t>What is changing? → What choices exist? → What should the client consider? → What is the next step?</w:t>
      </w:r>
    </w:p>
    <w:p>
      <w:pPr>
        <w:spacing w:after="80" w:line="259" w:lineRule="auto"/>
      </w:pPr>
      <w:r>
        <w:rPr>
          <w:b/>
        </w:rPr>
        <w:t xml:space="preserve">Opportunity guide: </w:t>
      </w:r>
      <w:r>
        <w:t>Where are you now? → What improvement is possible? → What actions create progress?</w:t>
      </w:r>
    </w:p>
    <w:p>
      <w:pPr>
        <w:spacing w:after="80" w:line="259" w:lineRule="auto"/>
      </w:pPr>
      <w:r>
        <w:rPr>
          <w:b/>
        </w:rPr>
        <w:t xml:space="preserve">Process guide: </w:t>
      </w:r>
      <w:r>
        <w:t>What to expect → What Janke LLP does → What the client provides → Timing and next step</w:t>
      </w:r>
    </w:p>
    <w:p>
      <w:pPr>
        <w:spacing w:after="80" w:line="259" w:lineRule="auto"/>
      </w:pPr>
      <w:r>
        <w:rPr>
          <w:b/>
        </w:rPr>
        <w:t xml:space="preserve">Deadline guide: </w:t>
      </w:r>
      <w:r>
        <w:t>What is due? → Who is affected? → What information is needed? → What happens next?</w:t>
      </w:r>
    </w:p>
    <w:p>
      <w:pPr>
        <w:spacing w:after="80" w:line="259" w:lineRule="auto"/>
      </w:pPr>
      <w:r>
        <w:rPr>
          <w:b/>
        </w:rPr>
        <w:t xml:space="preserve">Meeting summary: </w:t>
      </w:r>
      <w:r>
        <w:t>What we heard → What better looks like → Recommended actions → Owner and timing</w:t>
      </w:r>
    </w:p>
    <w:p>
      <w:pPr>
        <w:pStyle w:val="Heading1"/>
        <w:keepNext/>
        <w:spacing w:before="200" w:after="100"/>
      </w:pPr>
      <w:r>
        <w:t>7. Approval and release checklist</w:t>
      </w:r>
    </w:p>
    <w:p>
      <w:pPr>
        <w:spacing w:after="80" w:line="259" w:lineRule="auto"/>
        <w:ind w:left="72"/>
      </w:pPr>
      <w:r>
        <w:t>☐  The document answers one clear client question or need.</w:t>
      </w:r>
    </w:p>
    <w:p>
      <w:pPr>
        <w:spacing w:after="80" w:line="259" w:lineRule="auto"/>
        <w:ind w:left="72"/>
      </w:pPr>
      <w:r>
        <w:t>☐  The main message can be understood without specialist knowledge.</w:t>
      </w:r>
    </w:p>
    <w:p>
      <w:pPr>
        <w:spacing w:after="80" w:line="259" w:lineRule="auto"/>
        <w:ind w:left="72"/>
      </w:pPr>
      <w:r>
        <w:t>☐  The content fits comfortably on one page at a readable size.</w:t>
      </w:r>
    </w:p>
    <w:p>
      <w:pPr>
        <w:spacing w:after="80" w:line="259" w:lineRule="auto"/>
        <w:ind w:left="72"/>
      </w:pPr>
      <w:r>
        <w:t>☐  Technical claims and dates have been verified.</w:t>
      </w:r>
    </w:p>
    <w:p>
      <w:pPr>
        <w:spacing w:after="80" w:line="259" w:lineRule="auto"/>
        <w:ind w:left="72"/>
      </w:pPr>
      <w:r>
        <w:t>☐  The call to action is specific, useful, and low-pressure.</w:t>
      </w:r>
    </w:p>
    <w:p>
      <w:pPr>
        <w:spacing w:after="80" w:line="259" w:lineRule="auto"/>
        <w:ind w:left="72"/>
      </w:pPr>
      <w:r>
        <w:t>☐  Brand, accessibility, consent, and confidentiality requirements are satisfied.</w:t>
      </w:r>
    </w:p>
    <w:p>
      <w:pPr>
        <w:spacing w:after="80" w:line="259" w:lineRule="auto"/>
        <w:ind w:left="72"/>
      </w:pPr>
      <w:r>
        <w:t>☐  The marketing lead has approved routine content; subject-matter or partner approval has been obtained where required.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F666A"/>
        <w:sz w:val="17"/>
      </w:rPr>
      <w:t>Janke LLP  |  One-Page Client Handout Standard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ilroy" w:hAnsi="Gilroy" w:eastAsia="Arial"/>
      <w:b/>
      <w:bCs/>
      <w:color w:val="B58A2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ilroy" w:hAnsi="Gilroy" w:eastAsia="Arial"/>
      <w:b/>
      <w:bCs/>
      <w:color w:val="11111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ilroy" w:hAnsi="Gilroy" w:eastAsia="Arial"/>
      <w:b/>
      <w:color w:val="111111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Janke LLP One-Page Client Handout Standard</dc:title>
  <dc:subject>Brand-aligned standard for one-page client handouts</dc:subject>
  <dc:creator>python-docx</dc:creator>
  <cp:keywords>Janke LLP, client handout, Prairie Gold, brand standard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