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Proposal Standard</w:t>
      </w:r>
    </w:p>
    <w:p>
      <w:pPr>
        <w:jc w:val="left"/>
      </w:pPr>
      <w:r>
        <w:rPr>
          <w:rFonts w:ascii="Arial" w:hAnsi="Arial"/>
          <w:color w:val="5A6464"/>
          <w:sz w:val="26"/>
        </w:rPr>
        <w:t>Client-facing proposals for advisory, accounting, tax, assurance and related services</w:t>
      </w:r>
    </w:p>
    <w:tbl>
      <w:tblPr>
        <w:tblW w:type="auto" w:w="0"/>
        <w:jc w:val="left"/>
        <w:tblLayout w:type="fixed"/>
        <w:tblLook w:firstColumn="1" w:firstRow="1" w:lastColumn="0" w:lastRow="0" w:noHBand="0" w:noVBand="1" w:val="04A0"/>
      </w:tblPr>
      <w:tblGrid>
        <w:gridCol w:w="1872"/>
        <w:gridCol w:w="8352"/>
      </w:tblGrid>
      <w:tr>
        <w:tc>
          <w:tcPr>
            <w:tcW w:type="dxa" w:w="4968"/>
            <w:shd w:fill="111111"/>
            <w:tcMar>
              <w:top w:w="160" w:type="dxa"/>
              <w:start w:w="160" w:type="dxa"/>
              <w:bottom w:w="160" w:type="dxa"/>
              <w:end w:w="160" w:type="dxa"/>
            </w:tcMar>
          </w:tcPr>
          <w:p>
            <w:r>
              <w:rPr>
                <w:rFonts w:ascii="Arial" w:hAnsi="Arial"/>
              </w:rPr>
            </w:r>
            <w:r>
              <w:rPr>
                <w:rFonts w:ascii="Arial" w:hAnsi="Arial"/>
                <w:b/>
                <w:color w:val="FFFFFF"/>
                <w:sz w:val="20"/>
              </w:rPr>
              <w:t>Purpose</w:t>
            </w:r>
          </w:p>
        </w:tc>
        <w:tc>
          <w:tcPr>
            <w:tcW w:type="dxa" w:w="4968"/>
            <w:shd w:fill="F7F5F0"/>
            <w:tcMar>
              <w:top w:w="160" w:type="dxa"/>
              <w:start w:w="160" w:type="dxa"/>
              <w:bottom w:w="160" w:type="dxa"/>
              <w:end w:w="160" w:type="dxa"/>
            </w:tcMar>
          </w:tcPr>
          <w:p>
            <w:r>
              <w:rPr>
                <w:rFonts w:ascii="Arial" w:hAnsi="Arial"/>
              </w:rPr>
            </w:r>
            <w:r>
              <w:rPr>
                <w:rFonts w:ascii="Arial" w:hAnsi="Arial"/>
                <w:b w:val="0"/>
                <w:color w:val="111111"/>
                <w:sz w:val="20"/>
              </w:rPr>
              <w:t>Create clear, confident and client-centred proposals that help prospective clients understand the opportunity, the work, the value and the next step.</w:t>
            </w:r>
          </w:p>
        </w:tc>
      </w:tr>
    </w:tbl>
    <w:p>
      <w:pPr/>
      <w:r>
        <w:rPr>
          <w:rFonts w:ascii="Arial" w:hAnsi="Arial"/>
        </w:rPr>
        <w:t>This standard applies to proposals prepared under the Janke LLP name. It governs structure, tone, visual hierarchy, pricing presentation, review, approval and release. The approved editable proposal templates are maintained separately.</w:t>
      </w:r>
    </w:p>
    <w:p>
      <w:pPr>
        <w:pStyle w:val="Heading1"/>
      </w:pPr>
      <w:r>
        <w:t>1. Proposal objective</w:t>
      </w:r>
    </w:p>
    <w:p>
      <w:r>
        <w:rPr>
          <w:rFonts w:ascii="Arial" w:hAnsi="Arial"/>
        </w:rPr>
        <w:t>A proposal should help the reader decide whether Janke LLP is the right partner for the outcome they want to achieve.</w:t>
      </w:r>
    </w:p>
    <w:p>
      <w:r>
        <w:rPr>
          <w:rFonts w:ascii="Arial" w:hAnsi="Arial"/>
        </w:rPr>
        <w:t>It should not read as a generic list of services. It should demonstrate understanding of the client’s circumstances, explain a practical path forward and make the scope and commercial terms easy to understand.</w:t>
      </w:r>
    </w:p>
    <w:tbl>
      <w:tblPr>
        <w:tblW w:type="auto" w:w="0"/>
        <w:jc w:val="center"/>
        <w:tblLook w:firstColumn="1" w:firstRow="1" w:lastColumn="0" w:lastRow="0" w:noHBand="0" w:noVBand="1" w:val="04A0"/>
      </w:tblPr>
      <w:tblGrid>
        <w:gridCol w:w="9936"/>
      </w:tblGrid>
      <w:tr>
        <w:tc>
          <w:tcPr>
            <w:tcW w:type="dxa" w:w="9936"/>
            <w:shd w:fill="F7F5F0"/>
            <w:tcMar>
              <w:top w:w="180" w:type="dxa"/>
              <w:start w:w="220" w:type="dxa"/>
              <w:bottom w:w="180" w:type="dxa"/>
              <w:end w:w="220" w:type="dxa"/>
            </w:tcMar>
          </w:tcPr>
          <w:p>
            <w:r>
              <w:rPr>
                <w:rFonts w:ascii="Arial" w:hAnsi="Arial"/>
                <w:b/>
                <w:color w:val="111111"/>
                <w:sz w:val="22"/>
              </w:rPr>
              <w:t>Primary proposal question: What does better look like for this client, and how can Janke LLP help them move toward it?</w:t>
            </w:r>
          </w:p>
        </w:tc>
      </w:tr>
    </w:tbl>
    <w:p>
      <w:pPr>
        <w:pStyle w:val="Heading1"/>
      </w:pPr>
      <w:r>
        <w:t>2. Required proposal structure</w:t>
      </w:r>
    </w:p>
    <w:tbl>
      <w:tblPr>
        <w:tblW w:type="auto" w:w="0"/>
        <w:jc w:val="center"/>
        <w:tblLayout w:type="fixed"/>
        <w:tblLook w:firstColumn="1" w:firstRow="1" w:lastColumn="0" w:lastRow="0" w:noHBand="0" w:noVBand="1" w:val="04A0"/>
      </w:tblPr>
      <w:tblGrid>
        <w:gridCol w:w="2448"/>
        <w:gridCol w:w="7344"/>
      </w:tblGrid>
      <w:tr>
        <w:trPr>
          <w:tblHeader w:val="true"/>
        </w:trPr>
        <w:tc>
          <w:tcPr>
            <w:tcW w:type="dxa" w:w="4968"/>
            <w:shd w:fill="111111"/>
            <w:tcMar>
              <w:top w:w="140" w:type="dxa"/>
              <w:start w:w="140" w:type="dxa"/>
              <w:bottom w:w="140" w:type="dxa"/>
              <w:end w:w="140" w:type="dxa"/>
            </w:tcMar>
          </w:tcPr>
          <w:p>
            <w:r>
              <w:rPr>
                <w:rFonts w:ascii="Arial" w:hAnsi="Arial"/>
              </w:rPr>
            </w:r>
            <w:r>
              <w:rPr>
                <w:rFonts w:ascii="Arial" w:hAnsi="Arial"/>
                <w:b/>
                <w:color w:val="FFFFFF"/>
                <w:sz w:val="19"/>
              </w:rPr>
              <w:t>Section</w:t>
            </w:r>
          </w:p>
        </w:tc>
        <w:tc>
          <w:tcPr>
            <w:tcW w:type="dxa" w:w="4968"/>
            <w:shd w:fill="111111"/>
            <w:tcMar>
              <w:top w:w="140" w:type="dxa"/>
              <w:start w:w="140" w:type="dxa"/>
              <w:bottom w:w="140" w:type="dxa"/>
              <w:end w:w="140" w:type="dxa"/>
            </w:tcMar>
          </w:tcPr>
          <w:p>
            <w:r>
              <w:rPr>
                <w:rFonts w:ascii="Arial" w:hAnsi="Arial"/>
              </w:rPr>
            </w:r>
            <w:r>
              <w:rPr>
                <w:rFonts w:ascii="Arial" w:hAnsi="Arial"/>
                <w:b/>
                <w:color w:val="FFFFFF"/>
                <w:sz w:val="19"/>
              </w:rPr>
              <w:t>Standard</w:t>
            </w:r>
          </w:p>
        </w:tc>
      </w:tr>
      <w:tr>
        <w:tc>
          <w:tcPr>
            <w:tcW w:type="dxa" w:w="2448"/>
            <w:tcMar>
              <w:top w:w="120" w:type="dxa"/>
              <w:start w:w="140" w:type="dxa"/>
              <w:bottom w:w="120" w:type="dxa"/>
              <w:end w:w="140" w:type="dxa"/>
            </w:tcMar>
          </w:tcPr>
          <w:p>
            <w:r>
              <w:rPr>
                <w:rFonts w:ascii="Arial" w:hAnsi="Arial"/>
              </w:rPr>
            </w:r>
            <w:r>
              <w:rPr>
                <w:rFonts w:ascii="Arial" w:hAnsi="Arial"/>
                <w:b/>
                <w:color w:val="111111"/>
                <w:sz w:val="18"/>
              </w:rPr>
              <w:t>Cover page</w:t>
            </w:r>
          </w:p>
        </w:tc>
        <w:tc>
          <w:tcPr>
            <w:tcW w:type="dxa" w:w="7344"/>
            <w:tcMar>
              <w:top w:w="120" w:type="dxa"/>
              <w:start w:w="140" w:type="dxa"/>
              <w:bottom w:w="120" w:type="dxa"/>
              <w:end w:w="140" w:type="dxa"/>
            </w:tcMar>
          </w:tcPr>
          <w:p>
            <w:r>
              <w:rPr>
                <w:rFonts w:ascii="Arial" w:hAnsi="Arial"/>
              </w:rPr>
              <w:t>Client name, proposal title, date, Janke LLP name, and a concise outcome-oriented subtitle. Keep the cover restrained and uncluttered. Approved proposal templates may use a full black cover with white copy and restrained Prairie Gold display accents.</w:t>
            </w:r>
          </w:p>
        </w:tc>
      </w:tr>
      <w:tr>
        <w:tc>
          <w:tcPr>
            <w:tcW w:type="dxa" w:w="2448"/>
            <w:tcMar>
              <w:top w:w="120" w:type="dxa"/>
              <w:start w:w="140" w:type="dxa"/>
              <w:bottom w:w="120" w:type="dxa"/>
              <w:end w:w="140" w:type="dxa"/>
            </w:tcMar>
          </w:tcPr>
          <w:p>
            <w:r>
              <w:rPr>
                <w:rFonts w:ascii="Arial" w:hAnsi="Arial"/>
              </w:rPr>
            </w:r>
            <w:r>
              <w:rPr>
                <w:rFonts w:ascii="Arial" w:hAnsi="Arial"/>
                <w:b/>
                <w:color w:val="111111"/>
                <w:sz w:val="18"/>
              </w:rPr>
              <w:t>Opening perspective</w:t>
            </w:r>
          </w:p>
        </w:tc>
        <w:tc>
          <w:tcPr>
            <w:tcW w:type="dxa" w:w="7344"/>
            <w:tcMar>
              <w:top w:w="120" w:type="dxa"/>
              <w:start w:w="140" w:type="dxa"/>
              <w:bottom w:w="120" w:type="dxa"/>
              <w:end w:w="140" w:type="dxa"/>
            </w:tcMar>
          </w:tcPr>
          <w:p>
            <w:r>
              <w:rPr>
                <w:rFonts w:ascii="Arial" w:hAnsi="Arial"/>
              </w:rPr>
            </w:r>
            <w:r>
              <w:rPr>
                <w:rFonts w:ascii="Arial" w:hAnsi="Arial"/>
                <w:b w:val="0"/>
                <w:color w:val="111111"/>
                <w:sz w:val="18"/>
              </w:rPr>
              <w:t>A short, client-specific statement that reflects what Janke LLP understands about the client’s current position, priorities and desired improvement.</w:t>
            </w:r>
          </w:p>
        </w:tc>
      </w:tr>
      <w:tr>
        <w:tc>
          <w:tcPr>
            <w:tcW w:type="dxa" w:w="2448"/>
            <w:tcMar>
              <w:top w:w="120" w:type="dxa"/>
              <w:start w:w="140" w:type="dxa"/>
              <w:bottom w:w="120" w:type="dxa"/>
              <w:end w:w="140" w:type="dxa"/>
            </w:tcMar>
          </w:tcPr>
          <w:p>
            <w:r>
              <w:rPr>
                <w:rFonts w:ascii="Arial" w:hAnsi="Arial"/>
              </w:rPr>
            </w:r>
            <w:r>
              <w:rPr>
                <w:rFonts w:ascii="Arial" w:hAnsi="Arial"/>
                <w:b/>
                <w:color w:val="111111"/>
                <w:sz w:val="18"/>
              </w:rPr>
              <w:t>What we heard</w:t>
            </w:r>
          </w:p>
        </w:tc>
        <w:tc>
          <w:tcPr>
            <w:tcW w:type="dxa" w:w="7344"/>
            <w:tcMar>
              <w:top w:w="120" w:type="dxa"/>
              <w:start w:w="140" w:type="dxa"/>
              <w:bottom w:w="120" w:type="dxa"/>
              <w:end w:w="140" w:type="dxa"/>
            </w:tcMar>
          </w:tcPr>
          <w:p>
            <w:r>
              <w:rPr>
                <w:rFonts w:ascii="Arial" w:hAnsi="Arial"/>
              </w:rPr>
            </w:r>
            <w:r>
              <w:rPr>
                <w:rFonts w:ascii="Arial" w:hAnsi="Arial"/>
                <w:b w:val="0"/>
                <w:color w:val="111111"/>
                <w:sz w:val="18"/>
              </w:rPr>
              <w:t>Summarize the client’s circumstances, objectives, constraints and key questions in plain language. Distinguish confirmed facts from assumptions.</w:t>
            </w:r>
          </w:p>
        </w:tc>
      </w:tr>
      <w:tr>
        <w:tc>
          <w:tcPr>
            <w:tcW w:type="dxa" w:w="2448"/>
            <w:tcMar>
              <w:top w:w="120" w:type="dxa"/>
              <w:start w:w="140" w:type="dxa"/>
              <w:bottom w:w="120" w:type="dxa"/>
              <w:end w:w="140" w:type="dxa"/>
            </w:tcMar>
          </w:tcPr>
          <w:p>
            <w:r>
              <w:rPr>
                <w:rFonts w:ascii="Arial" w:hAnsi="Arial"/>
              </w:rPr>
            </w:r>
            <w:r>
              <w:rPr>
                <w:rFonts w:ascii="Arial" w:hAnsi="Arial"/>
                <w:b/>
                <w:color w:val="111111"/>
                <w:sz w:val="18"/>
              </w:rPr>
              <w:t>How we can help</w:t>
            </w:r>
          </w:p>
        </w:tc>
        <w:tc>
          <w:tcPr>
            <w:tcW w:type="dxa" w:w="7344"/>
            <w:tcMar>
              <w:top w:w="120" w:type="dxa"/>
              <w:start w:w="140" w:type="dxa"/>
              <w:bottom w:w="120" w:type="dxa"/>
              <w:end w:w="140" w:type="dxa"/>
            </w:tcMar>
          </w:tcPr>
          <w:p>
            <w:r>
              <w:rPr>
                <w:rFonts w:ascii="Arial" w:hAnsi="Arial"/>
              </w:rPr>
            </w:r>
            <w:r>
              <w:rPr>
                <w:rFonts w:ascii="Arial" w:hAnsi="Arial"/>
                <w:b w:val="0"/>
                <w:color w:val="111111"/>
                <w:sz w:val="18"/>
              </w:rPr>
              <w:t>Describe the recommended approach in terms of decisions, workstreams or stages. Focus on practical outcomes before technical detail.</w:t>
            </w:r>
          </w:p>
        </w:tc>
      </w:tr>
      <w:tr>
        <w:tc>
          <w:tcPr>
            <w:tcW w:type="dxa" w:w="2448"/>
            <w:tcMar>
              <w:top w:w="120" w:type="dxa"/>
              <w:start w:w="140" w:type="dxa"/>
              <w:bottom w:w="120" w:type="dxa"/>
              <w:end w:w="140" w:type="dxa"/>
            </w:tcMar>
          </w:tcPr>
          <w:p>
            <w:r>
              <w:rPr>
                <w:rFonts w:ascii="Arial" w:hAnsi="Arial"/>
              </w:rPr>
            </w:r>
            <w:r>
              <w:rPr>
                <w:rFonts w:ascii="Arial" w:hAnsi="Arial"/>
                <w:b/>
                <w:color w:val="111111"/>
                <w:sz w:val="18"/>
              </w:rPr>
              <w:t>Scope and deliverables</w:t>
            </w:r>
          </w:p>
        </w:tc>
        <w:tc>
          <w:tcPr>
            <w:tcW w:type="dxa" w:w="7344"/>
            <w:tcMar>
              <w:top w:w="120" w:type="dxa"/>
              <w:start w:w="140" w:type="dxa"/>
              <w:bottom w:w="120" w:type="dxa"/>
              <w:end w:w="140" w:type="dxa"/>
            </w:tcMar>
          </w:tcPr>
          <w:p>
            <w:r>
              <w:rPr>
                <w:rFonts w:ascii="Arial" w:hAnsi="Arial"/>
              </w:rPr>
            </w:r>
            <w:r>
              <w:rPr>
                <w:rFonts w:ascii="Arial" w:hAnsi="Arial"/>
                <w:b w:val="0"/>
                <w:color w:val="111111"/>
                <w:sz w:val="18"/>
              </w:rPr>
              <w:t>State what is included, what will be delivered, responsibilities, dependencies and material exclusions.</w:t>
            </w:r>
          </w:p>
        </w:tc>
      </w:tr>
      <w:tr>
        <w:tc>
          <w:tcPr>
            <w:tcW w:type="dxa" w:w="2448"/>
            <w:tcMar>
              <w:top w:w="120" w:type="dxa"/>
              <w:start w:w="140" w:type="dxa"/>
              <w:bottom w:w="120" w:type="dxa"/>
              <w:end w:w="140" w:type="dxa"/>
            </w:tcMar>
          </w:tcPr>
          <w:p>
            <w:r>
              <w:rPr>
                <w:rFonts w:ascii="Arial" w:hAnsi="Arial"/>
              </w:rPr>
            </w:r>
            <w:r>
              <w:rPr>
                <w:rFonts w:ascii="Arial" w:hAnsi="Arial"/>
                <w:b/>
                <w:color w:val="111111"/>
                <w:sz w:val="18"/>
              </w:rPr>
              <w:t>Team</w:t>
            </w:r>
          </w:p>
        </w:tc>
        <w:tc>
          <w:tcPr>
            <w:tcW w:type="dxa" w:w="7344"/>
            <w:tcMar>
              <w:top w:w="120" w:type="dxa"/>
              <w:start w:w="140" w:type="dxa"/>
              <w:bottom w:w="120" w:type="dxa"/>
              <w:end w:w="140" w:type="dxa"/>
            </w:tcMar>
          </w:tcPr>
          <w:p>
            <w:r>
              <w:rPr>
                <w:rFonts w:ascii="Arial" w:hAnsi="Arial"/>
              </w:rPr>
            </w:r>
            <w:r>
              <w:rPr>
                <w:rFonts w:ascii="Arial" w:hAnsi="Arial"/>
                <w:b w:val="0"/>
                <w:color w:val="111111"/>
                <w:sz w:val="18"/>
              </w:rPr>
              <w:t>Identify the lead relationship professional and relevant subject-matter experts. Keep biographies concise and directly relevant.</w:t>
            </w:r>
          </w:p>
        </w:tc>
      </w:tr>
      <w:tr>
        <w:tc>
          <w:tcPr>
            <w:tcW w:type="dxa" w:w="2448"/>
            <w:tcMar>
              <w:top w:w="120" w:type="dxa"/>
              <w:start w:w="140" w:type="dxa"/>
              <w:bottom w:w="120" w:type="dxa"/>
              <w:end w:w="140" w:type="dxa"/>
            </w:tcMar>
          </w:tcPr>
          <w:p>
            <w:r>
              <w:rPr>
                <w:rFonts w:ascii="Arial" w:hAnsi="Arial"/>
              </w:rPr>
            </w:r>
            <w:r>
              <w:rPr>
                <w:rFonts w:ascii="Arial" w:hAnsi="Arial"/>
                <w:b/>
                <w:color w:val="111111"/>
                <w:sz w:val="18"/>
              </w:rPr>
              <w:t>Timing and working approach</w:t>
            </w:r>
          </w:p>
        </w:tc>
        <w:tc>
          <w:tcPr>
            <w:tcW w:type="dxa" w:w="7344"/>
            <w:tcMar>
              <w:top w:w="120" w:type="dxa"/>
              <w:start w:w="140" w:type="dxa"/>
              <w:bottom w:w="120" w:type="dxa"/>
              <w:end w:w="140" w:type="dxa"/>
            </w:tcMar>
          </w:tcPr>
          <w:p>
            <w:r>
              <w:rPr>
                <w:rFonts w:ascii="Arial" w:hAnsi="Arial"/>
              </w:rPr>
            </w:r>
            <w:r>
              <w:rPr>
                <w:rFonts w:ascii="Arial" w:hAnsi="Arial"/>
                <w:b w:val="0"/>
                <w:color w:val="111111"/>
                <w:sz w:val="18"/>
              </w:rPr>
              <w:t>Set out expected timing, key milestones, information required from the client and how communication will occur.</w:t>
            </w:r>
          </w:p>
        </w:tc>
      </w:tr>
      <w:tr>
        <w:tc>
          <w:tcPr>
            <w:tcW w:type="dxa" w:w="2448"/>
            <w:tcMar>
              <w:top w:w="120" w:type="dxa"/>
              <w:start w:w="140" w:type="dxa"/>
              <w:bottom w:w="120" w:type="dxa"/>
              <w:end w:w="140" w:type="dxa"/>
            </w:tcMar>
          </w:tcPr>
          <w:p>
            <w:r>
              <w:rPr>
                <w:rFonts w:ascii="Arial" w:hAnsi="Arial"/>
              </w:rPr>
            </w:r>
            <w:r>
              <w:rPr>
                <w:rFonts w:ascii="Arial" w:hAnsi="Arial"/>
                <w:b/>
                <w:color w:val="111111"/>
                <w:sz w:val="18"/>
              </w:rPr>
              <w:t>Fees and commercial terms</w:t>
            </w:r>
          </w:p>
        </w:tc>
        <w:tc>
          <w:tcPr>
            <w:tcW w:type="dxa" w:w="7344"/>
            <w:tcMar>
              <w:top w:w="120" w:type="dxa"/>
              <w:start w:w="140" w:type="dxa"/>
              <w:bottom w:w="120" w:type="dxa"/>
              <w:end w:w="140" w:type="dxa"/>
            </w:tcMar>
          </w:tcPr>
          <w:p>
            <w:r>
              <w:rPr>
                <w:rFonts w:ascii="Arial" w:hAnsi="Arial"/>
              </w:rPr>
            </w:r>
            <w:r>
              <w:rPr>
                <w:rFonts w:ascii="Arial" w:hAnsi="Arial"/>
                <w:b w:val="0"/>
                <w:color w:val="111111"/>
                <w:sz w:val="18"/>
              </w:rPr>
              <w:t>Present scope and fees clearly, with assumptions and billing terms. Fees should be proportionate to complexity and value.</w:t>
            </w:r>
          </w:p>
        </w:tc>
      </w:tr>
      <w:tr>
        <w:tc>
          <w:tcPr>
            <w:tcW w:type="dxa" w:w="2448"/>
            <w:tcMar>
              <w:top w:w="120" w:type="dxa"/>
              <w:start w:w="140" w:type="dxa"/>
              <w:bottom w:w="120" w:type="dxa"/>
              <w:end w:w="140" w:type="dxa"/>
            </w:tcMar>
          </w:tcPr>
          <w:p>
            <w:r>
              <w:rPr>
                <w:rFonts w:ascii="Arial" w:hAnsi="Arial"/>
              </w:rPr>
            </w:r>
            <w:r>
              <w:rPr>
                <w:rFonts w:ascii="Arial" w:hAnsi="Arial"/>
                <w:b/>
                <w:color w:val="111111"/>
                <w:sz w:val="18"/>
              </w:rPr>
              <w:t>Why Janke LLP</w:t>
            </w:r>
          </w:p>
        </w:tc>
        <w:tc>
          <w:tcPr>
            <w:tcW w:type="dxa" w:w="7344"/>
            <w:tcMar>
              <w:top w:w="120" w:type="dxa"/>
              <w:start w:w="140" w:type="dxa"/>
              <w:bottom w:w="120" w:type="dxa"/>
              <w:end w:w="140" w:type="dxa"/>
            </w:tcMar>
          </w:tcPr>
          <w:p>
            <w:r>
              <w:rPr>
                <w:rFonts w:ascii="Arial" w:hAnsi="Arial"/>
              </w:rPr>
            </w:r>
            <w:r>
              <w:rPr>
                <w:rFonts w:ascii="Arial" w:hAnsi="Arial"/>
                <w:b w:val="0"/>
                <w:color w:val="111111"/>
                <w:sz w:val="18"/>
              </w:rPr>
              <w:t>Use a brief, evidence-based statement about practical clarity, Saskatchewan understanding, expertise and the firm-first team approach.</w:t>
            </w:r>
          </w:p>
        </w:tc>
      </w:tr>
      <w:tr>
        <w:tc>
          <w:tcPr>
            <w:tcW w:type="dxa" w:w="2448"/>
            <w:tcMar>
              <w:top w:w="120" w:type="dxa"/>
              <w:start w:w="140" w:type="dxa"/>
              <w:bottom w:w="120" w:type="dxa"/>
              <w:end w:w="140" w:type="dxa"/>
            </w:tcMar>
          </w:tcPr>
          <w:p>
            <w:r>
              <w:rPr>
                <w:rFonts w:ascii="Arial" w:hAnsi="Arial"/>
              </w:rPr>
            </w:r>
            <w:r>
              <w:rPr>
                <w:rFonts w:ascii="Arial" w:hAnsi="Arial"/>
                <w:b/>
                <w:color w:val="111111"/>
                <w:sz w:val="18"/>
              </w:rPr>
              <w:t>Next step</w:t>
            </w:r>
          </w:p>
        </w:tc>
        <w:tc>
          <w:tcPr>
            <w:tcW w:type="dxa" w:w="7344"/>
            <w:tcMar>
              <w:top w:w="120" w:type="dxa"/>
              <w:start w:w="140" w:type="dxa"/>
              <w:bottom w:w="120" w:type="dxa"/>
              <w:end w:w="140" w:type="dxa"/>
            </w:tcMar>
          </w:tcPr>
          <w:p>
            <w:r>
              <w:rPr>
                <w:rFonts w:ascii="Arial" w:hAnsi="Arial"/>
              </w:rPr>
            </w:r>
            <w:r>
              <w:rPr>
                <w:rFonts w:ascii="Arial" w:hAnsi="Arial"/>
                <w:b w:val="0"/>
                <w:color w:val="111111"/>
                <w:sz w:val="18"/>
              </w:rPr>
              <w:t>Use a thoughtful, low-pressure call to action focused on learning, growth, improvement and realizing opportunity.</w:t>
            </w:r>
          </w:p>
        </w:tc>
      </w:tr>
    </w:tbl>
    <w:p>
      <w:pPr>
        <w:pStyle w:val="Heading1"/>
      </w:pPr>
      <w:r>
        <w:t>3. Voice and writing standard</w:t>
      </w:r>
    </w:p>
    <w:p>
      <w:pPr>
        <w:pStyle w:val="ListBullet"/>
      </w:pPr>
      <w:r>
        <w:rPr>
          <w:rFonts w:ascii="Arial" w:hAnsi="Arial"/>
        </w:rPr>
        <w:t>Professional, plainspoken and confident.</w:t>
      </w:r>
    </w:p>
    <w:p>
      <w:pPr>
        <w:pStyle w:val="ListBullet"/>
      </w:pPr>
      <w:r>
        <w:rPr>
          <w:rFonts w:ascii="Arial" w:hAnsi="Arial"/>
        </w:rPr>
        <w:t>Client-centred: write primarily about the client’s goals, decisions and opportunities rather than about the firm.</w:t>
      </w:r>
    </w:p>
    <w:p>
      <w:pPr>
        <w:pStyle w:val="ListBullet"/>
      </w:pPr>
      <w:r>
        <w:rPr>
          <w:rFonts w:ascii="Arial" w:hAnsi="Arial"/>
        </w:rPr>
        <w:t>Specific enough to demonstrate understanding, but not overloaded with technical detail.</w:t>
      </w:r>
    </w:p>
    <w:p>
      <w:pPr>
        <w:pStyle w:val="ListBullet"/>
      </w:pPr>
      <w:r>
        <w:rPr>
          <w:rFonts w:ascii="Arial" w:hAnsi="Arial"/>
        </w:rPr>
        <w:t>Warm and constructive, without hype, pressure or exaggerated promises.</w:t>
      </w:r>
    </w:p>
    <w:p>
      <w:pPr>
        <w:pStyle w:val="ListBullet"/>
      </w:pPr>
      <w:r>
        <w:rPr>
          <w:rFonts w:ascii="Arial" w:hAnsi="Arial"/>
        </w:rPr>
        <w:t>Outcome-led: explain what the work will help the client understand, decide, improve, protect or build.</w:t>
      </w:r>
    </w:p>
    <w:p>
      <w:pPr>
        <w:pStyle w:val="ListBullet"/>
      </w:pPr>
      <w:r>
        <w:rPr>
          <w:rFonts w:ascii="Arial" w:hAnsi="Arial"/>
        </w:rPr>
        <w:t>Use the supporting line “Grounded advice. Grow better.” selectively, not automatically and never attached to the logo.</w:t>
      </w:r>
    </w:p>
    <w:p>
      <w:pPr>
        <w:pStyle w:val="Heading1"/>
      </w:pPr>
      <w:r>
        <w:t>4. Visual and layout standard</w:t>
      </w:r>
    </w:p>
    <w:tbl>
      <w:tblPr>
        <w:tblW w:type="auto" w:w="0"/>
        <w:jc w:val="center"/>
        <w:tblLayout w:type="fixed"/>
        <w:tblLook w:firstColumn="1" w:firstRow="1" w:lastColumn="0" w:lastRow="0" w:noHBand="0" w:noVBand="1" w:val="04A0"/>
      </w:tblPr>
      <w:tblGrid>
        <w:gridCol w:w="2088"/>
        <w:gridCol w:w="3168"/>
        <w:gridCol w:w="4536"/>
      </w:tblGrid>
      <w:tr>
        <w:tc>
          <w:tcPr>
            <w:tcW w:type="dxa" w:w="3312"/>
            <w:shd w:fill="111111"/>
          </w:tcPr>
          <w:p>
            <w:r>
              <w:rPr>
                <w:rFonts w:ascii="Arial" w:hAnsi="Arial"/>
              </w:rPr>
            </w:r>
            <w:r>
              <w:rPr>
                <w:rFonts w:ascii="Arial" w:hAnsi="Arial"/>
                <w:b/>
                <w:color w:val="FFFFFF"/>
                <w:sz w:val="18"/>
              </w:rPr>
              <w:t>Element</w:t>
            </w:r>
          </w:p>
        </w:tc>
        <w:tc>
          <w:tcPr>
            <w:tcW w:type="dxa" w:w="3312"/>
            <w:shd w:fill="111111"/>
          </w:tcPr>
          <w:p>
            <w:r>
              <w:rPr>
                <w:rFonts w:ascii="Arial" w:hAnsi="Arial"/>
              </w:rPr>
            </w:r>
            <w:r>
              <w:rPr>
                <w:rFonts w:ascii="Arial" w:hAnsi="Arial"/>
                <w:b/>
                <w:color w:val="FFFFFF"/>
                <w:sz w:val="18"/>
              </w:rPr>
              <w:t>Standard</w:t>
            </w:r>
          </w:p>
        </w:tc>
        <w:tc>
          <w:tcPr>
            <w:tcW w:type="dxa" w:w="3312"/>
            <w:shd w:fill="111111"/>
          </w:tcPr>
          <w:p>
            <w:r>
              <w:rPr>
                <w:rFonts w:ascii="Arial" w:hAnsi="Arial"/>
              </w:rPr>
            </w:r>
            <w:r>
              <w:rPr>
                <w:rFonts w:ascii="Arial" w:hAnsi="Arial"/>
                <w:b/>
                <w:color w:val="FFFFFF"/>
                <w:sz w:val="18"/>
              </w:rPr>
              <w:t>Guidance</w:t>
            </w:r>
          </w:p>
        </w:tc>
      </w:tr>
      <w:tr>
        <w:tc>
          <w:tcPr>
            <w:tcW w:type="dxa" w:w="2088"/>
            <w:tcMar>
              <w:top w:w="110" w:type="dxa"/>
              <w:start w:w="130" w:type="dxa"/>
              <w:bottom w:w="110" w:type="dxa"/>
              <w:end w:w="130" w:type="dxa"/>
            </w:tcMar>
          </w:tcPr>
          <w:p>
            <w:r>
              <w:rPr>
                <w:rFonts w:ascii="Arial" w:hAnsi="Arial"/>
              </w:rPr>
            </w:r>
            <w:r>
              <w:rPr>
                <w:rFonts w:ascii="Arial" w:hAnsi="Arial"/>
                <w:b/>
                <w:color w:val="111111"/>
                <w:sz w:val="18"/>
              </w:rPr>
              <w:t>Page size</w:t>
            </w:r>
          </w:p>
        </w:tc>
        <w:tc>
          <w:tcPr>
            <w:tcW w:type="dxa" w:w="3168"/>
            <w:tcMar>
              <w:top w:w="110" w:type="dxa"/>
              <w:start w:w="130" w:type="dxa"/>
              <w:bottom w:w="110" w:type="dxa"/>
              <w:end w:w="130" w:type="dxa"/>
            </w:tcMar>
          </w:tcPr>
          <w:p>
            <w:r>
              <w:rPr>
                <w:rFonts w:ascii="Arial" w:hAnsi="Arial"/>
              </w:rPr>
            </w:r>
            <w:r>
              <w:rPr>
                <w:rFonts w:ascii="Arial" w:hAnsi="Arial"/>
                <w:b w:val="0"/>
                <w:color w:val="111111"/>
                <w:sz w:val="18"/>
              </w:rPr>
              <w:t>Letter, portrait</w:t>
            </w:r>
          </w:p>
        </w:tc>
        <w:tc>
          <w:tcPr>
            <w:tcW w:type="dxa" w:w="4536"/>
            <w:tcMar>
              <w:top w:w="110" w:type="dxa"/>
              <w:start w:w="130" w:type="dxa"/>
              <w:bottom w:w="110" w:type="dxa"/>
              <w:end w:w="130" w:type="dxa"/>
            </w:tcMar>
          </w:tcPr>
          <w:p>
            <w:r>
              <w:rPr>
                <w:rFonts w:ascii="Arial" w:hAnsi="Arial"/>
              </w:rPr>
            </w:r>
            <w:r>
              <w:rPr>
                <w:rFonts w:ascii="Arial" w:hAnsi="Arial"/>
                <w:b w:val="0"/>
                <w:color w:val="111111"/>
                <w:sz w:val="18"/>
              </w:rPr>
              <w:t>Use landscape only where a table or visual genuinely requires it.</w:t>
            </w:r>
          </w:p>
        </w:tc>
      </w:tr>
      <w:tr>
        <w:tc>
          <w:tcPr>
            <w:tcW w:type="dxa" w:w="2088"/>
            <w:tcMar>
              <w:top w:w="110" w:type="dxa"/>
              <w:start w:w="130" w:type="dxa"/>
              <w:bottom w:w="110" w:type="dxa"/>
              <w:end w:w="130" w:type="dxa"/>
            </w:tcMar>
          </w:tcPr>
          <w:p>
            <w:r>
              <w:rPr>
                <w:rFonts w:ascii="Arial" w:hAnsi="Arial"/>
              </w:rPr>
            </w:r>
            <w:r>
              <w:rPr>
                <w:rFonts w:ascii="Arial" w:hAnsi="Arial"/>
                <w:b/>
                <w:color w:val="111111"/>
                <w:sz w:val="18"/>
              </w:rPr>
              <w:t>Typography</w:t>
            </w:r>
          </w:p>
        </w:tc>
        <w:tc>
          <w:tcPr>
            <w:tcW w:type="dxa" w:w="3168"/>
            <w:tcMar>
              <w:top w:w="110" w:type="dxa"/>
              <w:start w:w="130" w:type="dxa"/>
              <w:bottom w:w="110" w:type="dxa"/>
              <w:end w:w="130" w:type="dxa"/>
            </w:tcMar>
          </w:tcPr>
          <w:p>
            <w:r>
              <w:rPr>
                <w:rFonts w:ascii="Arial" w:hAnsi="Arial"/>
              </w:rPr>
            </w:r>
            <w:r>
              <w:rPr>
                <w:rFonts w:ascii="Arial" w:hAnsi="Arial"/>
                <w:b w:val="0"/>
                <w:color w:val="111111"/>
                <w:sz w:val="18"/>
              </w:rPr>
              <w:t>Gilroy for display; Arial for body</w:t>
            </w:r>
          </w:p>
        </w:tc>
        <w:tc>
          <w:tcPr>
            <w:tcW w:type="dxa" w:w="4536"/>
            <w:tcMar>
              <w:top w:w="110" w:type="dxa"/>
              <w:start w:w="130" w:type="dxa"/>
              <w:bottom w:w="110" w:type="dxa"/>
              <w:end w:w="130" w:type="dxa"/>
            </w:tcMar>
          </w:tcPr>
          <w:p>
            <w:r>
              <w:rPr>
                <w:rFonts w:ascii="Arial" w:hAnsi="Arial"/>
              </w:rPr>
            </w:r>
            <w:r>
              <w:rPr>
                <w:rFonts w:ascii="Arial" w:hAnsi="Arial"/>
                <w:b w:val="0"/>
                <w:color w:val="111111"/>
                <w:sz w:val="18"/>
              </w:rPr>
              <w:t>Use Arial where Gilroy is unavailable. Manrope is the preferred web fallback, not the default Word font.</w:t>
            </w:r>
          </w:p>
        </w:tc>
      </w:tr>
      <w:tr>
        <w:tc>
          <w:tcPr>
            <w:tcW w:type="dxa" w:w="2088"/>
            <w:tcMar>
              <w:top w:w="110" w:type="dxa"/>
              <w:start w:w="130" w:type="dxa"/>
              <w:bottom w:w="110" w:type="dxa"/>
              <w:end w:w="130" w:type="dxa"/>
            </w:tcMar>
          </w:tcPr>
          <w:p>
            <w:r>
              <w:rPr>
                <w:rFonts w:ascii="Arial" w:hAnsi="Arial"/>
              </w:rPr>
            </w:r>
            <w:r>
              <w:rPr>
                <w:rFonts w:ascii="Arial" w:hAnsi="Arial"/>
                <w:b/>
                <w:color w:val="111111"/>
                <w:sz w:val="18"/>
              </w:rPr>
              <w:t>Colour</w:t>
            </w:r>
          </w:p>
        </w:tc>
        <w:tc>
          <w:tcPr>
            <w:tcW w:type="dxa" w:w="3168"/>
            <w:tcMar>
              <w:top w:w="110" w:type="dxa"/>
              <w:start w:w="130" w:type="dxa"/>
              <w:bottom w:w="110" w:type="dxa"/>
              <w:end w:w="130" w:type="dxa"/>
            </w:tcMar>
          </w:tcPr>
          <w:p>
            <w:r>
              <w:rPr>
                <w:rFonts w:ascii="Arial" w:hAnsi="Arial"/>
              </w:rPr>
              <w:t>Near-black, white and Prairie Gold; optional warm white and stone neutrals</w:t>
            </w:r>
          </w:p>
        </w:tc>
        <w:tc>
          <w:tcPr>
            <w:tcW w:type="dxa" w:w="4536"/>
            <w:tcMar>
              <w:top w:w="110" w:type="dxa"/>
              <w:start w:w="130" w:type="dxa"/>
              <w:bottom w:w="110" w:type="dxa"/>
              <w:end w:w="130" w:type="dxa"/>
            </w:tcMar>
          </w:tcPr>
          <w:p>
            <w:r>
              <w:rPr>
                <w:rFonts w:ascii="Arial" w:hAnsi="Arial"/>
              </w:rPr>
              <w:t>Black and white should dominate approximately 90–95% of the composition. Use Prairie Gold selectively, generally no more than 5–10%, for rules, markers, headings or key emphasis. Use bright Prairie Gold only for display emphasis on black; maintain accessible contrast.</w:t>
            </w:r>
          </w:p>
        </w:tc>
      </w:tr>
      <w:tr>
        <w:tc>
          <w:tcPr>
            <w:tcW w:type="dxa" w:w="2088"/>
            <w:tcMar>
              <w:top w:w="110" w:type="dxa"/>
              <w:start w:w="130" w:type="dxa"/>
              <w:bottom w:w="110" w:type="dxa"/>
              <w:end w:w="130" w:type="dxa"/>
            </w:tcMar>
          </w:tcPr>
          <w:p>
            <w:r>
              <w:rPr>
                <w:rFonts w:ascii="Arial" w:hAnsi="Arial"/>
              </w:rPr>
            </w:r>
            <w:r>
              <w:rPr>
                <w:rFonts w:ascii="Arial" w:hAnsi="Arial"/>
                <w:b/>
                <w:color w:val="111111"/>
                <w:sz w:val="18"/>
              </w:rPr>
              <w:t>Logo</w:t>
            </w:r>
          </w:p>
        </w:tc>
        <w:tc>
          <w:tcPr>
            <w:tcW w:type="dxa" w:w="3168"/>
            <w:tcMar>
              <w:top w:w="110" w:type="dxa"/>
              <w:start w:w="130" w:type="dxa"/>
              <w:bottom w:w="110" w:type="dxa"/>
              <w:end w:w="130" w:type="dxa"/>
            </w:tcMar>
          </w:tcPr>
          <w:p>
            <w:r>
              <w:rPr>
                <w:rFonts w:ascii="Arial" w:hAnsi="Arial"/>
              </w:rPr>
              <w:t>Approved monochrome logo only</w:t>
            </w:r>
          </w:p>
        </w:tc>
        <w:tc>
          <w:tcPr>
            <w:tcW w:type="dxa" w:w="4536"/>
            <w:tcMar>
              <w:top w:w="110" w:type="dxa"/>
              <w:start w:w="130" w:type="dxa"/>
              <w:bottom w:w="110" w:type="dxa"/>
              <w:end w:w="130" w:type="dxa"/>
            </w:tcMar>
          </w:tcPr>
          <w:p>
            <w:r>
              <w:rPr>
                <w:rFonts w:ascii="Arial" w:hAnsi="Arial"/>
              </w:rPr>
              <w:t>Do not alter type, spacing or proportions. Black or white logo treatments are preferred. Do not attach “Grounded advice. Grow better.” to the logo.</w:t>
            </w:r>
          </w:p>
        </w:tc>
      </w:tr>
      <w:tr>
        <w:tc>
          <w:tcPr>
            <w:tcW w:type="dxa" w:w="2088"/>
            <w:tcMar>
              <w:top w:w="110" w:type="dxa"/>
              <w:start w:w="130" w:type="dxa"/>
              <w:bottom w:w="110" w:type="dxa"/>
              <w:end w:w="130" w:type="dxa"/>
            </w:tcMar>
          </w:tcPr>
          <w:p>
            <w:r>
              <w:rPr>
                <w:rFonts w:ascii="Arial" w:hAnsi="Arial"/>
              </w:rPr>
            </w:r>
            <w:r>
              <w:rPr>
                <w:rFonts w:ascii="Arial" w:hAnsi="Arial"/>
                <w:b/>
                <w:color w:val="111111"/>
                <w:sz w:val="18"/>
              </w:rPr>
              <w:t>Photography</w:t>
            </w:r>
          </w:p>
        </w:tc>
        <w:tc>
          <w:tcPr>
            <w:tcW w:type="dxa" w:w="3168"/>
            <w:tcMar>
              <w:top w:w="110" w:type="dxa"/>
              <w:start w:w="130" w:type="dxa"/>
              <w:bottom w:w="110" w:type="dxa"/>
              <w:end w:w="130" w:type="dxa"/>
            </w:tcMar>
          </w:tcPr>
          <w:p>
            <w:r>
              <w:rPr>
                <w:rFonts w:ascii="Arial" w:hAnsi="Arial"/>
              </w:rPr>
            </w:r>
            <w:r>
              <w:rPr>
                <w:rFonts w:ascii="Arial" w:hAnsi="Arial"/>
                <w:b w:val="0"/>
                <w:color w:val="111111"/>
                <w:sz w:val="18"/>
              </w:rPr>
              <w:t>Real people and Saskatchewan settings</w:t>
            </w:r>
          </w:p>
        </w:tc>
        <w:tc>
          <w:tcPr>
            <w:tcW w:type="dxa" w:w="4536"/>
            <w:tcMar>
              <w:top w:w="110" w:type="dxa"/>
              <w:start w:w="130" w:type="dxa"/>
              <w:bottom w:w="110" w:type="dxa"/>
              <w:end w:w="130" w:type="dxa"/>
            </w:tcMar>
          </w:tcPr>
          <w:p>
            <w:r>
              <w:rPr>
                <w:rFonts w:ascii="Arial" w:hAnsi="Arial"/>
              </w:rPr>
            </w:r>
            <w:r>
              <w:rPr>
                <w:rFonts w:ascii="Arial" w:hAnsi="Arial"/>
                <w:b w:val="0"/>
                <w:color w:val="111111"/>
                <w:sz w:val="18"/>
              </w:rPr>
              <w:t>Polished but genuine. Use project-specific written consent for identifiable clients.</w:t>
            </w:r>
          </w:p>
        </w:tc>
      </w:tr>
      <w:tr>
        <w:tc>
          <w:tcPr>
            <w:tcW w:type="dxa" w:w="2088"/>
            <w:tcMar>
              <w:top w:w="110" w:type="dxa"/>
              <w:start w:w="130" w:type="dxa"/>
              <w:bottom w:w="110" w:type="dxa"/>
              <w:end w:w="130" w:type="dxa"/>
            </w:tcMar>
          </w:tcPr>
          <w:p>
            <w:r>
              <w:rPr>
                <w:rFonts w:ascii="Arial" w:hAnsi="Arial"/>
              </w:rPr>
            </w:r>
            <w:r>
              <w:rPr>
                <w:rFonts w:ascii="Arial" w:hAnsi="Arial"/>
                <w:b/>
                <w:color w:val="111111"/>
                <w:sz w:val="18"/>
              </w:rPr>
              <w:t>Density</w:t>
            </w:r>
          </w:p>
        </w:tc>
        <w:tc>
          <w:tcPr>
            <w:tcW w:type="dxa" w:w="3168"/>
            <w:tcMar>
              <w:top w:w="110" w:type="dxa"/>
              <w:start w:w="130" w:type="dxa"/>
              <w:bottom w:w="110" w:type="dxa"/>
              <w:end w:w="130" w:type="dxa"/>
            </w:tcMar>
          </w:tcPr>
          <w:p>
            <w:r>
              <w:rPr>
                <w:rFonts w:ascii="Arial" w:hAnsi="Arial"/>
              </w:rPr>
            </w:r>
            <w:r>
              <w:rPr>
                <w:rFonts w:ascii="Arial" w:hAnsi="Arial"/>
                <w:b w:val="0"/>
                <w:color w:val="111111"/>
                <w:sz w:val="18"/>
              </w:rPr>
              <w:t>Generous whitespace</w:t>
            </w:r>
          </w:p>
        </w:tc>
        <w:tc>
          <w:tcPr>
            <w:tcW w:type="dxa" w:w="4536"/>
            <w:tcMar>
              <w:top w:w="110" w:type="dxa"/>
              <w:start w:w="130" w:type="dxa"/>
              <w:bottom w:w="110" w:type="dxa"/>
              <w:end w:w="130" w:type="dxa"/>
            </w:tcMar>
          </w:tcPr>
          <w:p>
            <w:r>
              <w:rPr>
                <w:rFonts w:ascii="Arial" w:hAnsi="Arial"/>
              </w:rPr>
            </w:r>
            <w:r>
              <w:rPr>
                <w:rFonts w:ascii="Arial" w:hAnsi="Arial"/>
                <w:b w:val="0"/>
                <w:color w:val="111111"/>
                <w:sz w:val="18"/>
              </w:rPr>
              <w:t>Avoid long uninterrupted walls of text. Use short sections, tables and callouts where they improve understanding.</w:t>
            </w:r>
          </w:p>
        </w:tc>
      </w:tr>
    </w:tbl>
    <w:p>
      <w:pPr>
        <w:pStyle w:val="Heading1"/>
      </w:pPr>
      <w:r>
        <w:t>5. Scope and fee presentation</w:t>
      </w:r>
    </w:p>
    <w:p>
      <w:r>
        <w:rPr>
          <w:rFonts w:ascii="Arial" w:hAnsi="Arial"/>
        </w:rPr>
        <w:t>Scope must be sufficiently specific that the client can understand what is included, what is not included and what information or decisions are required from them.</w:t>
      </w:r>
    </w:p>
    <w:p>
      <w:r>
        <w:rPr>
          <w:rFonts w:ascii="Arial" w:hAnsi="Arial"/>
        </w:rPr>
        <w:t>Fees should be presented with clear expectations, transparent scope, and a direct connection to the complexity and value of the work.</w:t>
      </w:r>
    </w:p>
    <w:p>
      <w:pPr>
        <w:pStyle w:val="Heading2"/>
      </w:pPr>
      <w:r>
        <w:t>Recommended fee table</w:t>
      </w:r>
    </w:p>
    <w:tbl>
      <w:tblPr>
        <w:tblW w:type="auto" w:w="0"/>
        <w:jc w:val="center"/>
        <w:tblLayout w:type="fixed"/>
        <w:tblLook w:firstColumn="1" w:firstRow="1" w:lastColumn="0" w:lastRow="0" w:noHBand="0" w:noVBand="1" w:val="04A0"/>
      </w:tblPr>
      <w:tblGrid>
        <w:gridCol w:w="2952"/>
        <w:gridCol w:w="2520"/>
        <w:gridCol w:w="1728"/>
        <w:gridCol w:w="2592"/>
      </w:tblGrid>
      <w:tr>
        <w:tc>
          <w:tcPr>
            <w:tcW w:type="dxa" w:w="2484"/>
            <w:shd w:fill="111111"/>
          </w:tcPr>
          <w:p>
            <w:r>
              <w:rPr>
                <w:rFonts w:ascii="Arial" w:hAnsi="Arial"/>
              </w:rPr>
            </w:r>
            <w:r>
              <w:rPr>
                <w:rFonts w:ascii="Arial" w:hAnsi="Arial"/>
                <w:b/>
                <w:color w:val="FFFFFF"/>
                <w:sz w:val="18"/>
              </w:rPr>
              <w:t>Workstream</w:t>
            </w:r>
          </w:p>
        </w:tc>
        <w:tc>
          <w:tcPr>
            <w:tcW w:type="dxa" w:w="2484"/>
            <w:shd w:fill="111111"/>
          </w:tcPr>
          <w:p>
            <w:r>
              <w:rPr>
                <w:rFonts w:ascii="Arial" w:hAnsi="Arial"/>
              </w:rPr>
            </w:r>
            <w:r>
              <w:rPr>
                <w:rFonts w:ascii="Arial" w:hAnsi="Arial"/>
                <w:b/>
                <w:color w:val="FFFFFF"/>
                <w:sz w:val="18"/>
              </w:rPr>
              <w:t>Included outcome</w:t>
            </w:r>
          </w:p>
        </w:tc>
        <w:tc>
          <w:tcPr>
            <w:tcW w:type="dxa" w:w="2484"/>
            <w:shd w:fill="111111"/>
          </w:tcPr>
          <w:p>
            <w:r>
              <w:rPr>
                <w:rFonts w:ascii="Arial" w:hAnsi="Arial"/>
              </w:rPr>
            </w:r>
            <w:r>
              <w:rPr>
                <w:rFonts w:ascii="Arial" w:hAnsi="Arial"/>
                <w:b/>
                <w:color w:val="FFFFFF"/>
                <w:sz w:val="18"/>
              </w:rPr>
              <w:t>Fee</w:t>
            </w:r>
          </w:p>
        </w:tc>
        <w:tc>
          <w:tcPr>
            <w:tcW w:type="dxa" w:w="2484"/>
            <w:shd w:fill="111111"/>
          </w:tcPr>
          <w:p>
            <w:r>
              <w:rPr>
                <w:rFonts w:ascii="Arial" w:hAnsi="Arial"/>
              </w:rPr>
            </w:r>
            <w:r>
              <w:rPr>
                <w:rFonts w:ascii="Arial" w:hAnsi="Arial"/>
                <w:b/>
                <w:color w:val="FFFFFF"/>
                <w:sz w:val="18"/>
              </w:rPr>
              <w:t>Billing / assumptions</w:t>
            </w:r>
          </w:p>
        </w:tc>
      </w:tr>
      <w:tr>
        <w:tc>
          <w:tcPr>
            <w:tcW w:type="dxa" w:w="2952"/>
            <w:tcMar>
              <w:top w:w="110" w:type="dxa"/>
              <w:start w:w="120" w:type="dxa"/>
              <w:bottom w:w="110" w:type="dxa"/>
              <w:end w:w="120" w:type="dxa"/>
            </w:tcMar>
          </w:tcPr>
          <w:p>
            <w:r>
              <w:rPr>
                <w:rFonts w:ascii="Arial" w:hAnsi="Arial"/>
              </w:rPr>
            </w:r>
            <w:r>
              <w:rPr>
                <w:rFonts w:ascii="Arial" w:hAnsi="Arial"/>
                <w:b/>
                <w:color w:val="111111"/>
                <w:sz w:val="17"/>
              </w:rPr>
              <w:t>Discovery and planning</w:t>
            </w:r>
          </w:p>
        </w:tc>
        <w:tc>
          <w:tcPr>
            <w:tcW w:type="dxa" w:w="2520"/>
            <w:tcMar>
              <w:top w:w="110" w:type="dxa"/>
              <w:start w:w="120" w:type="dxa"/>
              <w:bottom w:w="110" w:type="dxa"/>
              <w:end w:w="120" w:type="dxa"/>
            </w:tcMar>
          </w:tcPr>
          <w:p>
            <w:r>
              <w:rPr>
                <w:rFonts w:ascii="Arial" w:hAnsi="Arial"/>
              </w:rPr>
            </w:r>
            <w:r>
              <w:rPr>
                <w:rFonts w:ascii="Arial" w:hAnsi="Arial"/>
                <w:b w:val="0"/>
                <w:color w:val="111111"/>
                <w:sz w:val="17"/>
              </w:rPr>
              <w:t>Shared understanding of priorities and agreed work plan</w:t>
            </w:r>
          </w:p>
        </w:tc>
        <w:tc>
          <w:tcPr>
            <w:tcW w:type="dxa" w:w="1728"/>
            <w:tcMar>
              <w:top w:w="110" w:type="dxa"/>
              <w:start w:w="120" w:type="dxa"/>
              <w:bottom w:w="110" w:type="dxa"/>
              <w:end w:w="120" w:type="dxa"/>
            </w:tcMar>
          </w:tcPr>
          <w:p>
            <w:r>
              <w:rPr>
                <w:rFonts w:ascii="Arial" w:hAnsi="Arial"/>
              </w:rPr>
            </w:r>
            <w:r>
              <w:rPr>
                <w:rFonts w:ascii="Arial" w:hAnsi="Arial"/>
                <w:b w:val="0"/>
                <w:color w:val="111111"/>
                <w:sz w:val="17"/>
              </w:rPr>
              <w:t>[Fee]</w:t>
            </w:r>
          </w:p>
        </w:tc>
        <w:tc>
          <w:tcPr>
            <w:tcW w:type="dxa" w:w="2592"/>
            <w:tcMar>
              <w:top w:w="110" w:type="dxa"/>
              <w:start w:w="120" w:type="dxa"/>
              <w:bottom w:w="110" w:type="dxa"/>
              <w:end w:w="120" w:type="dxa"/>
            </w:tcMar>
          </w:tcPr>
          <w:p>
            <w:r>
              <w:rPr>
                <w:rFonts w:ascii="Arial" w:hAnsi="Arial"/>
              </w:rPr>
            </w:r>
            <w:r>
              <w:rPr>
                <w:rFonts w:ascii="Arial" w:hAnsi="Arial"/>
                <w:b w:val="0"/>
                <w:color w:val="111111"/>
                <w:sz w:val="17"/>
              </w:rPr>
              <w:t>[Timing and assumptions]</w:t>
            </w:r>
          </w:p>
        </w:tc>
      </w:tr>
      <w:tr>
        <w:tc>
          <w:tcPr>
            <w:tcW w:type="dxa" w:w="2952"/>
            <w:tcMar>
              <w:top w:w="110" w:type="dxa"/>
              <w:start w:w="120" w:type="dxa"/>
              <w:bottom w:w="110" w:type="dxa"/>
              <w:end w:w="120" w:type="dxa"/>
            </w:tcMar>
          </w:tcPr>
          <w:p>
            <w:r>
              <w:rPr>
                <w:rFonts w:ascii="Arial" w:hAnsi="Arial"/>
              </w:rPr>
            </w:r>
            <w:r>
              <w:rPr>
                <w:rFonts w:ascii="Arial" w:hAnsi="Arial"/>
                <w:b/>
                <w:color w:val="111111"/>
                <w:sz w:val="17"/>
              </w:rPr>
              <w:t>Technical work and advice</w:t>
            </w:r>
          </w:p>
        </w:tc>
        <w:tc>
          <w:tcPr>
            <w:tcW w:type="dxa" w:w="2520"/>
            <w:tcMar>
              <w:top w:w="110" w:type="dxa"/>
              <w:start w:w="120" w:type="dxa"/>
              <w:bottom w:w="110" w:type="dxa"/>
              <w:end w:w="120" w:type="dxa"/>
            </w:tcMar>
          </w:tcPr>
          <w:p>
            <w:r>
              <w:rPr>
                <w:rFonts w:ascii="Arial" w:hAnsi="Arial"/>
              </w:rPr>
            </w:r>
            <w:r>
              <w:rPr>
                <w:rFonts w:ascii="Arial" w:hAnsi="Arial"/>
                <w:b w:val="0"/>
                <w:color w:val="111111"/>
                <w:sz w:val="17"/>
              </w:rPr>
              <w:t>[Key deliverables and decisions supported]</w:t>
            </w:r>
          </w:p>
        </w:tc>
        <w:tc>
          <w:tcPr>
            <w:tcW w:type="dxa" w:w="1728"/>
            <w:tcMar>
              <w:top w:w="110" w:type="dxa"/>
              <w:start w:w="120" w:type="dxa"/>
              <w:bottom w:w="110" w:type="dxa"/>
              <w:end w:w="120" w:type="dxa"/>
            </w:tcMar>
          </w:tcPr>
          <w:p>
            <w:r>
              <w:rPr>
                <w:rFonts w:ascii="Arial" w:hAnsi="Arial"/>
              </w:rPr>
            </w:r>
            <w:r>
              <w:rPr>
                <w:rFonts w:ascii="Arial" w:hAnsi="Arial"/>
                <w:b w:val="0"/>
                <w:color w:val="111111"/>
                <w:sz w:val="17"/>
              </w:rPr>
              <w:t>[Fee]</w:t>
            </w:r>
          </w:p>
        </w:tc>
        <w:tc>
          <w:tcPr>
            <w:tcW w:type="dxa" w:w="2592"/>
            <w:tcMar>
              <w:top w:w="110" w:type="dxa"/>
              <w:start w:w="120" w:type="dxa"/>
              <w:bottom w:w="110" w:type="dxa"/>
              <w:end w:w="120" w:type="dxa"/>
            </w:tcMar>
          </w:tcPr>
          <w:p>
            <w:r>
              <w:rPr>
                <w:rFonts w:ascii="Arial" w:hAnsi="Arial"/>
              </w:rPr>
            </w:r>
            <w:r>
              <w:rPr>
                <w:rFonts w:ascii="Arial" w:hAnsi="Arial"/>
                <w:b w:val="0"/>
                <w:color w:val="111111"/>
                <w:sz w:val="17"/>
              </w:rPr>
              <w:t>[Billing basis]</w:t>
            </w:r>
          </w:p>
        </w:tc>
      </w:tr>
      <w:tr>
        <w:tc>
          <w:tcPr>
            <w:tcW w:type="dxa" w:w="2952"/>
            <w:tcMar>
              <w:top w:w="110" w:type="dxa"/>
              <w:start w:w="120" w:type="dxa"/>
              <w:bottom w:w="110" w:type="dxa"/>
              <w:end w:w="120" w:type="dxa"/>
            </w:tcMar>
          </w:tcPr>
          <w:p>
            <w:r>
              <w:rPr>
                <w:rFonts w:ascii="Arial" w:hAnsi="Arial"/>
              </w:rPr>
            </w:r>
            <w:r>
              <w:rPr>
                <w:rFonts w:ascii="Arial" w:hAnsi="Arial"/>
                <w:b/>
                <w:color w:val="111111"/>
                <w:sz w:val="17"/>
              </w:rPr>
              <w:t>Implementation support</w:t>
            </w:r>
          </w:p>
        </w:tc>
        <w:tc>
          <w:tcPr>
            <w:tcW w:type="dxa" w:w="2520"/>
            <w:tcMar>
              <w:top w:w="110" w:type="dxa"/>
              <w:start w:w="120" w:type="dxa"/>
              <w:bottom w:w="110" w:type="dxa"/>
              <w:end w:w="120" w:type="dxa"/>
            </w:tcMar>
          </w:tcPr>
          <w:p>
            <w:r>
              <w:rPr>
                <w:rFonts w:ascii="Arial" w:hAnsi="Arial"/>
              </w:rPr>
            </w:r>
            <w:r>
              <w:rPr>
                <w:rFonts w:ascii="Arial" w:hAnsi="Arial"/>
                <w:b w:val="0"/>
                <w:color w:val="111111"/>
                <w:sz w:val="17"/>
              </w:rPr>
              <w:t>[Execution, coordination or follow-through]</w:t>
            </w:r>
          </w:p>
        </w:tc>
        <w:tc>
          <w:tcPr>
            <w:tcW w:type="dxa" w:w="1728"/>
            <w:tcMar>
              <w:top w:w="110" w:type="dxa"/>
              <w:start w:w="120" w:type="dxa"/>
              <w:bottom w:w="110" w:type="dxa"/>
              <w:end w:w="120" w:type="dxa"/>
            </w:tcMar>
          </w:tcPr>
          <w:p>
            <w:r>
              <w:rPr>
                <w:rFonts w:ascii="Arial" w:hAnsi="Arial"/>
              </w:rPr>
            </w:r>
            <w:r>
              <w:rPr>
                <w:rFonts w:ascii="Arial" w:hAnsi="Arial"/>
                <w:b w:val="0"/>
                <w:color w:val="111111"/>
                <w:sz w:val="17"/>
              </w:rPr>
              <w:t>[Fee]</w:t>
            </w:r>
          </w:p>
        </w:tc>
        <w:tc>
          <w:tcPr>
            <w:tcW w:type="dxa" w:w="2592"/>
            <w:tcMar>
              <w:top w:w="110" w:type="dxa"/>
              <w:start w:w="120" w:type="dxa"/>
              <w:bottom w:w="110" w:type="dxa"/>
              <w:end w:w="120" w:type="dxa"/>
            </w:tcMar>
          </w:tcPr>
          <w:p>
            <w:r>
              <w:rPr>
                <w:rFonts w:ascii="Arial" w:hAnsi="Arial"/>
              </w:rPr>
            </w:r>
            <w:r>
              <w:rPr>
                <w:rFonts w:ascii="Arial" w:hAnsi="Arial"/>
                <w:b w:val="0"/>
                <w:color w:val="111111"/>
                <w:sz w:val="17"/>
              </w:rPr>
              <w:t>[Dependencies and exclusions]</w:t>
            </w:r>
          </w:p>
        </w:tc>
      </w:tr>
    </w:tbl>
    <w:p>
      <w:pPr>
        <w:pStyle w:val="Heading1"/>
      </w:pPr>
      <w:r>
        <w:t>6. Team presentation</w:t>
      </w:r>
    </w:p>
    <w:p>
      <w:pPr>
        <w:pStyle w:val="ListBullet"/>
      </w:pPr>
      <w:r>
        <w:rPr>
          <w:rFonts w:ascii="Arial" w:hAnsi="Arial"/>
        </w:rPr>
        <w:t>Lead with the firm, supported by visible experts.</w:t>
      </w:r>
    </w:p>
    <w:p>
      <w:pPr>
        <w:pStyle w:val="ListBullet"/>
      </w:pPr>
      <w:r>
        <w:rPr>
          <w:rFonts w:ascii="Arial" w:hAnsi="Arial"/>
        </w:rPr>
        <w:t>Include only professionals who have a meaningful role in the engagement.</w:t>
      </w:r>
    </w:p>
    <w:p>
      <w:pPr>
        <w:pStyle w:val="ListBullet"/>
      </w:pPr>
      <w:r>
        <w:rPr>
          <w:rFonts w:ascii="Arial" w:hAnsi="Arial"/>
        </w:rPr>
        <w:t>Use standardized credentials and titles.</w:t>
      </w:r>
    </w:p>
    <w:p>
      <w:pPr>
        <w:pStyle w:val="ListBullet"/>
      </w:pPr>
      <w:r>
        <w:rPr>
          <w:rFonts w:ascii="Arial" w:hAnsi="Arial"/>
        </w:rPr>
        <w:t>Use short biographies of approximately 25–40 words unless a longer profile materially helps the decision.</w:t>
      </w:r>
    </w:p>
    <w:p>
      <w:pPr>
        <w:pStyle w:val="ListBullet"/>
      </w:pPr>
      <w:r>
        <w:rPr>
          <w:rFonts w:ascii="Arial" w:hAnsi="Arial"/>
        </w:rPr>
        <w:t>Include community involvement selectively where it is substantial and relevant.</w:t>
      </w:r>
    </w:p>
    <w:p>
      <w:pPr>
        <w:pStyle w:val="Heading1"/>
      </w:pPr>
      <w:r>
        <w:t>7. Calls to action</w:t>
      </w:r>
    </w:p>
    <w:p>
      <w:r>
        <w:rPr>
          <w:rFonts w:ascii="Arial" w:hAnsi="Arial"/>
        </w:rPr>
        <w:t>Proposal calls to action should be thoughtful, direct and low-pressure. They should focus on the client’s opportunity for learning, growth and improvement, and Janke LLP’s desire to help realize it.</w:t>
      </w:r>
    </w:p>
    <w:tbl>
      <w:tblPr>
        <w:tblW w:type="auto" w:w="0"/>
        <w:jc w:val="center"/>
        <w:tblLayout w:type="fixed"/>
        <w:tblLook w:firstColumn="1" w:firstRow="1" w:lastColumn="0" w:lastRow="0" w:noHBand="0" w:noVBand="1" w:val="04A0"/>
      </w:tblPr>
      <w:tblGrid>
        <w:gridCol w:w="3168"/>
        <w:gridCol w:w="6480"/>
      </w:tblGrid>
      <w:tr>
        <w:tc>
          <w:tcPr>
            <w:tcW w:type="dxa" w:w="4968"/>
            <w:shd w:fill="111111"/>
            <w:tcMar>
              <w:top w:w="130" w:type="dxa"/>
              <w:start w:w="140" w:type="dxa"/>
              <w:bottom w:w="130" w:type="dxa"/>
              <w:end w:w="140" w:type="dxa"/>
            </w:tcMar>
          </w:tcPr>
          <w:p>
            <w:r>
              <w:rPr>
                <w:rFonts w:ascii="Arial" w:hAnsi="Arial"/>
              </w:rPr>
            </w:r>
            <w:r>
              <w:rPr>
                <w:rFonts w:ascii="Arial" w:hAnsi="Arial"/>
                <w:b/>
                <w:color w:val="FFFFFF"/>
                <w:sz w:val="18"/>
              </w:rPr>
              <w:t>Preferred</w:t>
            </w:r>
          </w:p>
        </w:tc>
        <w:tc>
          <w:tcPr>
            <w:tcW w:type="dxa" w:w="4968"/>
            <w:shd w:fill="111111"/>
            <w:tcMar>
              <w:top w:w="130" w:type="dxa"/>
              <w:start w:w="140" w:type="dxa"/>
              <w:bottom w:w="130" w:type="dxa"/>
              <w:end w:w="140" w:type="dxa"/>
            </w:tcMar>
          </w:tcPr>
          <w:p>
            <w:r>
              <w:rPr>
                <w:rFonts w:ascii="Arial" w:hAnsi="Arial"/>
              </w:rPr>
            </w:r>
            <w:r>
              <w:rPr>
                <w:rFonts w:ascii="Arial" w:hAnsi="Arial"/>
                <w:b/>
                <w:color w:val="FFFFFF"/>
                <w:sz w:val="18"/>
              </w:rPr>
              <w:t>Examples</w:t>
            </w:r>
          </w:p>
        </w:tc>
      </w:tr>
      <w:tr>
        <w:tc>
          <w:tcPr>
            <w:tcW w:type="dxa" w:w="4968"/>
            <w:tcMar>
              <w:top w:w="130" w:type="dxa"/>
              <w:start w:w="140" w:type="dxa"/>
              <w:bottom w:w="130" w:type="dxa"/>
              <w:end w:w="140" w:type="dxa"/>
            </w:tcMar>
          </w:tcPr>
          <w:p>
            <w:r>
              <w:rPr>
                <w:rFonts w:ascii="Arial" w:hAnsi="Arial"/>
              </w:rPr>
            </w:r>
            <w:r>
              <w:rPr>
                <w:rFonts w:ascii="Arial" w:hAnsi="Arial"/>
                <w:b/>
                <w:color w:val="111111"/>
                <w:sz w:val="18"/>
              </w:rPr>
              <w:t>Thoughtful and opportunity-focused</w:t>
            </w:r>
          </w:p>
        </w:tc>
        <w:tc>
          <w:tcPr>
            <w:tcW w:type="dxa" w:w="4968"/>
            <w:tcMar>
              <w:top w:w="130" w:type="dxa"/>
              <w:start w:w="140" w:type="dxa"/>
              <w:bottom w:w="130" w:type="dxa"/>
              <w:end w:w="140" w:type="dxa"/>
            </w:tcMar>
          </w:tcPr>
          <w:p>
            <w:r>
              <w:rPr>
                <w:rFonts w:ascii="Arial" w:hAnsi="Arial"/>
              </w:rPr>
            </w:r>
            <w:r>
              <w:rPr>
                <w:rFonts w:ascii="Arial" w:hAnsi="Arial"/>
                <w:b w:val="0"/>
                <w:color w:val="111111"/>
                <w:sz w:val="18"/>
              </w:rPr>
              <w:t>Start the conversation. | Tell us what you are working toward. | Explore what is possible. | See how we can help.</w:t>
            </w:r>
          </w:p>
        </w:tc>
      </w:tr>
    </w:tbl>
    <w:p>
      <w:pPr>
        <w:pStyle w:val="Heading1"/>
      </w:pPr>
      <w:r>
        <w:t>8. Review and approval</w:t>
      </w:r>
    </w:p>
    <w:tbl>
      <w:tblPr>
        <w:tblW w:type="auto" w:w="0"/>
        <w:jc w:val="center"/>
        <w:tblLayout w:type="fixed"/>
        <w:tblLook w:firstColumn="1" w:firstRow="1" w:lastColumn="0" w:lastRow="0" w:noHBand="0" w:noVBand="1" w:val="04A0"/>
      </w:tblPr>
      <w:tblGrid>
        <w:gridCol w:w="3312"/>
        <w:gridCol w:w="6336"/>
      </w:tblGrid>
      <w:tr>
        <w:tc>
          <w:tcPr>
            <w:tcW w:type="dxa" w:w="4968"/>
            <w:shd w:fill="111111"/>
          </w:tcPr>
          <w:p>
            <w:r>
              <w:rPr>
                <w:rFonts w:ascii="Arial" w:hAnsi="Arial"/>
              </w:rPr>
            </w:r>
            <w:r>
              <w:rPr>
                <w:rFonts w:ascii="Arial" w:hAnsi="Arial"/>
                <w:b/>
                <w:color w:val="FFFFFF"/>
                <w:sz w:val="18"/>
              </w:rPr>
              <w:t>Proposal type</w:t>
            </w:r>
          </w:p>
        </w:tc>
        <w:tc>
          <w:tcPr>
            <w:tcW w:type="dxa" w:w="4968"/>
            <w:shd w:fill="111111"/>
          </w:tcPr>
          <w:p>
            <w:r>
              <w:rPr>
                <w:rFonts w:ascii="Arial" w:hAnsi="Arial"/>
              </w:rPr>
            </w:r>
            <w:r>
              <w:rPr>
                <w:rFonts w:ascii="Arial" w:hAnsi="Arial"/>
                <w:b/>
                <w:color w:val="FFFFFF"/>
                <w:sz w:val="18"/>
              </w:rPr>
              <w:t>Required approval</w:t>
            </w:r>
          </w:p>
        </w:tc>
      </w:tr>
      <w:tr>
        <w:tc>
          <w:tcPr>
            <w:tcW w:type="dxa" w:w="3312"/>
            <w:tcMar>
              <w:top w:w="120" w:type="dxa"/>
              <w:start w:w="140" w:type="dxa"/>
              <w:bottom w:w="120" w:type="dxa"/>
              <w:end w:w="140" w:type="dxa"/>
            </w:tcMar>
          </w:tcPr>
          <w:p>
            <w:r>
              <w:rPr>
                <w:rFonts w:ascii="Arial" w:hAnsi="Arial"/>
              </w:rPr>
            </w:r>
            <w:r>
              <w:rPr>
                <w:rFonts w:ascii="Arial" w:hAnsi="Arial"/>
                <w:b/>
                <w:color w:val="111111"/>
                <w:sz w:val="18"/>
              </w:rPr>
              <w:t>Routine proposal using approved template</w:t>
            </w:r>
          </w:p>
        </w:tc>
        <w:tc>
          <w:tcPr>
            <w:tcW w:type="dxa" w:w="6336"/>
            <w:tcMar>
              <w:top w:w="120" w:type="dxa"/>
              <w:start w:w="140" w:type="dxa"/>
              <w:bottom w:w="120" w:type="dxa"/>
              <w:end w:w="140" w:type="dxa"/>
            </w:tcMar>
          </w:tcPr>
          <w:p>
            <w:r>
              <w:rPr>
                <w:rFonts w:ascii="Arial" w:hAnsi="Arial"/>
              </w:rPr>
            </w:r>
            <w:r>
              <w:rPr>
                <w:rFonts w:ascii="Arial" w:hAnsi="Arial"/>
                <w:b w:val="0"/>
                <w:color w:val="111111"/>
                <w:sz w:val="18"/>
              </w:rPr>
              <w:t>Marketing lead and engagement lead.</w:t>
            </w:r>
          </w:p>
        </w:tc>
      </w:tr>
      <w:tr>
        <w:tc>
          <w:tcPr>
            <w:tcW w:type="dxa" w:w="3312"/>
            <w:tcMar>
              <w:top w:w="120" w:type="dxa"/>
              <w:start w:w="140" w:type="dxa"/>
              <w:bottom w:w="120" w:type="dxa"/>
              <w:end w:w="140" w:type="dxa"/>
            </w:tcMar>
          </w:tcPr>
          <w:p>
            <w:r>
              <w:rPr>
                <w:rFonts w:ascii="Arial" w:hAnsi="Arial"/>
              </w:rPr>
            </w:r>
            <w:r>
              <w:rPr>
                <w:rFonts w:ascii="Arial" w:hAnsi="Arial"/>
                <w:b/>
                <w:color w:val="111111"/>
                <w:sz w:val="18"/>
              </w:rPr>
              <w:t>Technical tax, assurance, accounting or legal-adjacent content</w:t>
            </w:r>
          </w:p>
        </w:tc>
        <w:tc>
          <w:tcPr>
            <w:tcW w:type="dxa" w:w="6336"/>
            <w:tcMar>
              <w:top w:w="120" w:type="dxa"/>
              <w:start w:w="140" w:type="dxa"/>
              <w:bottom w:w="120" w:type="dxa"/>
              <w:end w:w="140" w:type="dxa"/>
            </w:tcMar>
          </w:tcPr>
          <w:p>
            <w:r>
              <w:rPr>
                <w:rFonts w:ascii="Arial" w:hAnsi="Arial"/>
              </w:rPr>
            </w:r>
            <w:r>
              <w:rPr>
                <w:rFonts w:ascii="Arial" w:hAnsi="Arial"/>
                <w:b w:val="0"/>
                <w:color w:val="111111"/>
                <w:sz w:val="18"/>
              </w:rPr>
              <w:t>Appropriate subject-matter expert.</w:t>
            </w:r>
          </w:p>
        </w:tc>
      </w:tr>
      <w:tr>
        <w:tc>
          <w:tcPr>
            <w:tcW w:type="dxa" w:w="3312"/>
            <w:tcMar>
              <w:top w:w="120" w:type="dxa"/>
              <w:start w:w="140" w:type="dxa"/>
              <w:bottom w:w="120" w:type="dxa"/>
              <w:end w:w="140" w:type="dxa"/>
            </w:tcMar>
          </w:tcPr>
          <w:p>
            <w:r>
              <w:rPr>
                <w:rFonts w:ascii="Arial" w:hAnsi="Arial"/>
              </w:rPr>
            </w:r>
            <w:r>
              <w:rPr>
                <w:rFonts w:ascii="Arial" w:hAnsi="Arial"/>
                <w:b/>
                <w:color w:val="111111"/>
                <w:sz w:val="18"/>
              </w:rPr>
              <w:t>Sensitive, high-profile or major strategic proposal</w:t>
            </w:r>
          </w:p>
        </w:tc>
        <w:tc>
          <w:tcPr>
            <w:tcW w:type="dxa" w:w="6336"/>
            <w:tcMar>
              <w:top w:w="120" w:type="dxa"/>
              <w:start w:w="140" w:type="dxa"/>
              <w:bottom w:w="120" w:type="dxa"/>
              <w:end w:w="140" w:type="dxa"/>
            </w:tcMar>
          </w:tcPr>
          <w:p>
            <w:r>
              <w:rPr>
                <w:rFonts w:ascii="Arial" w:hAnsi="Arial"/>
              </w:rPr>
            </w:r>
            <w:r>
              <w:rPr>
                <w:rFonts w:ascii="Arial" w:hAnsi="Arial"/>
                <w:b w:val="0"/>
                <w:color w:val="111111"/>
                <w:sz w:val="18"/>
              </w:rPr>
              <w:t>Scott Janke or designated partner approval.</w:t>
            </w:r>
          </w:p>
        </w:tc>
      </w:tr>
      <w:tr>
        <w:tc>
          <w:tcPr>
            <w:tcW w:type="dxa" w:w="3312"/>
            <w:tcMar>
              <w:top w:w="120" w:type="dxa"/>
              <w:start w:w="140" w:type="dxa"/>
              <w:bottom w:w="120" w:type="dxa"/>
              <w:end w:w="140" w:type="dxa"/>
            </w:tcMar>
          </w:tcPr>
          <w:p>
            <w:r>
              <w:rPr>
                <w:rFonts w:ascii="Arial" w:hAnsi="Arial"/>
              </w:rPr>
            </w:r>
            <w:r>
              <w:rPr>
                <w:rFonts w:ascii="Arial" w:hAnsi="Arial"/>
                <w:b/>
                <w:color w:val="111111"/>
                <w:sz w:val="18"/>
              </w:rPr>
              <w:t>AI-assisted drafting</w:t>
            </w:r>
          </w:p>
        </w:tc>
        <w:tc>
          <w:tcPr>
            <w:tcW w:type="dxa" w:w="6336"/>
            <w:tcMar>
              <w:top w:w="120" w:type="dxa"/>
              <w:start w:w="140" w:type="dxa"/>
              <w:bottom w:w="120" w:type="dxa"/>
              <w:end w:w="140" w:type="dxa"/>
            </w:tcMar>
          </w:tcPr>
          <w:p>
            <w:r>
              <w:rPr>
                <w:rFonts w:ascii="Arial" w:hAnsi="Arial"/>
              </w:rPr>
            </w:r>
            <w:r>
              <w:rPr>
                <w:rFonts w:ascii="Arial" w:hAnsi="Arial"/>
                <w:b w:val="0"/>
                <w:color w:val="111111"/>
                <w:sz w:val="18"/>
              </w:rPr>
              <w:t>Human review required; technical claims verified; no confidential client information entered into unapproved tools.</w:t>
            </w:r>
          </w:p>
        </w:tc>
      </w:tr>
    </w:tbl>
    <w:p>
      <w:pPr>
        <w:pStyle w:val="Heading1"/>
      </w:pPr>
      <w:r>
        <w:t>9. Release checklist</w:t>
      </w:r>
    </w:p>
    <w:p>
      <w:pPr>
        <w:ind w:left="144"/>
      </w:pPr>
      <w:r>
        <w:rPr>
          <w:rFonts w:ascii="Arial" w:hAnsi="Arial"/>
          <w:sz w:val="20"/>
        </w:rPr>
        <w:t>☐ Client name, legal name and contact information are correct.</w:t>
      </w:r>
    </w:p>
    <w:p>
      <w:pPr>
        <w:ind w:left="144"/>
      </w:pPr>
      <w:r>
        <w:rPr>
          <w:rFonts w:ascii="Arial" w:hAnsi="Arial"/>
          <w:sz w:val="20"/>
        </w:rPr>
        <w:t>☐ Proposal reflects the actual discussion and does not rely on unconfirmed assumptions without clearly identifying them.</w:t>
      </w:r>
    </w:p>
    <w:p>
      <w:pPr>
        <w:ind w:left="144"/>
      </w:pPr>
      <w:r>
        <w:rPr>
          <w:rFonts w:ascii="Arial" w:hAnsi="Arial"/>
          <w:sz w:val="20"/>
        </w:rPr>
        <w:t>☐ Scope, deliverables, exclusions, responsibilities and timing are clear.</w:t>
      </w:r>
    </w:p>
    <w:p>
      <w:pPr>
        <w:ind w:left="144"/>
      </w:pPr>
      <w:r>
        <w:rPr>
          <w:rFonts w:ascii="Arial" w:hAnsi="Arial"/>
          <w:sz w:val="20"/>
        </w:rPr>
        <w:t>☐ Fees, taxes, billing basis and commercial assumptions are accurate.</w:t>
      </w:r>
    </w:p>
    <w:p>
      <w:pPr>
        <w:ind w:left="144"/>
      </w:pPr>
      <w:r>
        <w:rPr>
          <w:rFonts w:ascii="Arial" w:hAnsi="Arial"/>
          <w:sz w:val="20"/>
        </w:rPr>
        <w:t>☐ Technical statements have been reviewed by the appropriate subject-matter expert.</w:t>
      </w:r>
    </w:p>
    <w:p>
      <w:pPr>
        <w:ind w:left="144"/>
      </w:pPr>
      <w:r>
        <w:rPr>
          <w:rFonts w:ascii="Arial" w:hAnsi="Arial"/>
          <w:sz w:val="20"/>
        </w:rPr>
        <w:t>☐ All claims and client examples are supportable and appropriately authorized.</w:t>
      </w:r>
    </w:p>
    <w:p>
      <w:pPr>
        <w:ind w:left="144"/>
      </w:pPr>
      <w:r>
        <w:rPr>
          <w:rFonts w:ascii="Arial" w:hAnsi="Arial"/>
          <w:sz w:val="20"/>
        </w:rPr>
        <w:t>☐ Formatting, logo use, typography, colours and accessibility meet the brand standard.</w:t>
      </w:r>
    </w:p>
    <w:p>
      <w:pPr>
        <w:ind w:left="144"/>
      </w:pPr>
      <w:r>
        <w:rPr>
          <w:rFonts w:ascii="Arial" w:hAnsi="Arial"/>
          <w:sz w:val="20"/>
        </w:rPr>
        <w:t>☐ The next step is clear and low-pressure.</w:t>
      </w:r>
    </w:p>
    <w:p>
      <w:pPr>
        <w:ind w:left="144"/>
      </w:pPr>
      <w:r>
        <w:rPr>
          <w:rFonts w:ascii="Arial" w:hAnsi="Arial"/>
          <w:sz w:val="20"/>
        </w:rPr>
        <w:t>☐ Final approver has authorized release.</w:t>
      </w:r>
    </w:p>
    <w:p>
      <w:pPr>
        <w:pStyle w:val="Heading1"/>
      </w:pPr>
      <w:r>
        <w:rPr>
          <w:rFonts w:ascii="Gilroy" w:hAnsi="Gilroy"/>
        </w:rPr>
        <w:t>10. Editable proposal templates</w:t>
      </w:r>
    </w:p>
    <w:p>
      <w:r>
        <w:rPr>
          <w:rFonts w:ascii="Arial" w:hAnsi="Arial"/>
        </w:rPr>
        <w:t>The approved editable proposal family includes:</w:t>
      </w:r>
    </w:p>
    <w:p>
      <w:pPr>
        <w:pStyle w:val="ListBullet"/>
      </w:pPr>
      <w:r>
        <w:rPr>
          <w:rFonts w:ascii="Arial" w:hAnsi="Arial"/>
        </w:rPr>
        <w:t>Full proposal cover page and optional executive summary page.</w:t>
      </w:r>
    </w:p>
    <w:p>
      <w:pPr>
        <w:pStyle w:val="ListBullet"/>
      </w:pPr>
      <w:r>
        <w:rPr>
          <w:rFonts w:ascii="Arial" w:hAnsi="Arial"/>
        </w:rPr>
        <w:t>Client-specific “What we heard” and “What better looks like” sections.</w:t>
      </w:r>
    </w:p>
    <w:p>
      <w:pPr>
        <w:pStyle w:val="ListBullet"/>
      </w:pPr>
      <w:r>
        <w:rPr>
          <w:rFonts w:ascii="Arial" w:hAnsi="Arial"/>
        </w:rPr>
        <w:t>Modular approach, scope, timeline and fee tables.</w:t>
      </w:r>
    </w:p>
    <w:p>
      <w:pPr>
        <w:pStyle w:val="ListBullet"/>
      </w:pPr>
      <w:r>
        <w:rPr>
          <w:rFonts w:ascii="Arial" w:hAnsi="Arial"/>
        </w:rPr>
        <w:t>Team profile blocks using standardized biography lengths.</w:t>
      </w:r>
    </w:p>
    <w:p>
      <w:pPr>
        <w:pStyle w:val="ListBullet"/>
      </w:pPr>
      <w:r>
        <w:rPr>
          <w:rFonts w:ascii="Arial" w:hAnsi="Arial"/>
        </w:rPr>
        <w:t>Terms, assumptions, exclusions and acceptance page.</w:t>
      </w:r>
    </w:p>
    <w:p>
      <w:pPr>
        <w:pStyle w:val="ListBullet"/>
      </w:pPr>
      <w:r>
        <w:rPr>
          <w:rFonts w:ascii="Arial" w:hAnsi="Arial"/>
        </w:rPr>
        <w:t>Built-in prompts and placeholder guidance that must be removed before release, plus the approved Proposal-at-a-Glance companion template.</w:t>
      </w:r>
    </w:p>
    <w:sectPr w:rsidR="00FC693F" w:rsidRPr="0006063C" w:rsidSect="00034616">
      <w:headerReference w:type="default" r:id="rId9"/>
      <w:footerReference w:type="default" r:id="rId10"/>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A6464"/>
        <w:sz w:val="16"/>
      </w:rPr>
      <w:t>Proposal Standard | Janke LLP</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111111"/>
        <w:sz w:val="22"/>
      </w:rPr>
      <w:t>Janke LLP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Gilroy" w:hAnsi="Gilroy" w:eastAsia="Gilroy"/>
      <w:b/>
      <w:bCs/>
      <w:color w:val="B58A2C"/>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Gilroy" w:hAnsi="Gilroy" w:eastAsia="Gilroy"/>
      <w:b/>
      <w:bCs/>
      <w:color w:val="111111"/>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rial" w:hAnsi="Arial"/>
      <w:b/>
      <w:bCs/>
      <w:color w:val="005C5C"/>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B58A2C"/>
      </w:pBdr>
      <w:spacing w:after="200" w:line="240" w:lineRule="auto" w:before="0"/>
      <w:contextualSpacing/>
    </w:pPr>
    <w:rPr>
      <w:rFonts w:asciiTheme="majorHAnsi" w:eastAsiaTheme="majorEastAsia" w:hAnsiTheme="majorHAnsi" w:cstheme="majorBidi" w:ascii="Gilroy" w:hAnsi="Gilroy" w:eastAsia="Gilroy"/>
      <w:b/>
      <w:color w:val="111111"/>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