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Recruitment Posting Standard</w:t>
      </w:r>
    </w:p>
    <w:p>
      <w:pPr>
        <w:jc w:val="left"/>
      </w:pPr>
      <w:r>
        <w:rPr>
          <w:rFonts w:ascii="Gilroy" w:hAnsi="Gilroy"/>
          <w:b/>
          <w:color w:val="B58A2C"/>
          <w:sz w:val="24"/>
        </w:rPr>
        <w:t>Clear expectations. Meaningful work. A better work experience.</w:t>
      </w:r>
    </w:p>
    <w:p>
      <w:pPr>
        <w:spacing w:after="200"/>
      </w:pPr>
      <w:r>
        <w:t>This standard governs external job postings, recruitment advertisements, career-page role descriptions and related hiring communications issued by Janke LLP.</w:t>
      </w:r>
    </w:p>
    <w:tbl>
      <w:tblPr>
        <w:tblW w:type="auto" w:w="0"/>
        <w:jc w:val="center"/>
        <w:tblLayout w:type="fixed"/>
        <w:tblLook w:firstColumn="1" w:firstRow="1" w:lastColumn="0" w:lastRow="0" w:noHBand="0" w:noVBand="1" w:val="04A0"/>
      </w:tblPr>
      <w:tblGrid>
        <w:gridCol w:w="9792"/>
      </w:tblGrid>
      <w:tr>
        <w:tc>
          <w:tcPr>
            <w:tcW w:type="dxa" w:w="9994"/>
            <w:shd w:fill="F7F5F0" w:val="clear"/>
            <w:tcMar>
              <w:top w:w="180" w:type="dxa"/>
              <w:start w:w="200" w:type="dxa"/>
              <w:bottom w:w="180" w:type="dxa"/>
              <w:end w:w="200" w:type="dxa"/>
            </w:tcMar>
          </w:tcPr>
          <w:p>
            <w:r>
              <w:rPr>
                <w:rFonts w:ascii="Arial" w:hAnsi="Arial" w:eastAsia="Arial"/>
                <w:b/>
                <w:color w:val="B58A2C"/>
                <w:sz w:val="19"/>
              </w:rPr>
              <w:t>Purpose</w:t>
            </w:r>
          </w:p>
          <w:p>
            <w:r>
              <w:rPr>
                <w:rFonts w:ascii="Arial" w:hAnsi="Arial" w:eastAsia="Arial"/>
                <w:sz w:val="19"/>
              </w:rPr>
              <w:t>Every posting should help a qualified candidate quickly understand the role, the work, the expectations and why Janke LLP is worth considering. It should sound confident and genuine, not inflated or generic.</w:t>
            </w:r>
          </w:p>
        </w:tc>
      </w:tr>
    </w:tbl>
    <w:p>
      <w:pPr>
        <w:pStyle w:val="Heading1"/>
        <w:keepNext/>
      </w:pPr>
      <w:r>
        <w:t>1. When this standard applies</w:t>
      </w:r>
    </w:p>
    <w:p>
      <w:r>
        <w:t>Use this standard for public job postings, recruitment campaigns, campus or experienced-hire advertisements, recruitment agency briefs, career-page listings and social posts that describe an open role.</w:t>
      </w:r>
    </w:p>
    <w:p>
      <w:r>
        <w:t>Internal-only role profiles, compensation documents, performance expectations and employment agreements may use related content, but they are governed by separate HR and legal requirements.</w:t>
      </w:r>
    </w:p>
    <w:p>
      <w:pPr>
        <w:pStyle w:val="Heading1"/>
        <w:keepNext/>
      </w:pPr>
      <w:r>
        <w:t>2. Recruitment message</w:t>
      </w:r>
    </w:p>
    <w:p>
      <w:r>
        <w:t>Janke LLP presents itself as an advisory-led CPA firm where people can do sophisticated work, contribute visibly to clients and community, and build a high-quality professional life.</w:t>
      </w:r>
    </w:p>
    <w:p>
      <w:r>
        <w:t>Each posting should express the role honestly while reinforcing the firm’s three recruitment pillars:</w:t>
      </w:r>
    </w:p>
    <w:p>
      <w:pPr>
        <w:pStyle w:val="ListBullet"/>
        <w:spacing w:after="60"/>
      </w:pPr>
      <w:r>
        <w:t>Sophisticated work experience using best-in-class tools and systems.</w:t>
      </w:r>
    </w:p>
    <w:p>
      <w:pPr>
        <w:pStyle w:val="ListBullet"/>
        <w:spacing w:after="60"/>
      </w:pPr>
      <w:r>
        <w:t>Visible impact on the lives of clients and the community.</w:t>
      </w:r>
    </w:p>
    <w:p>
      <w:pPr>
        <w:pStyle w:val="ListBullet"/>
        <w:spacing w:after="60"/>
      </w:pPr>
      <w:r>
        <w:t>A very high-quality work-life environment.</w:t>
      </w:r>
    </w:p>
    <w:p>
      <w:pPr>
        <w:pStyle w:val="Heading1"/>
        <w:keepNext/>
      </w:pPr>
      <w:r>
        <w:t>3. Required posting structure</w:t>
      </w:r>
    </w:p>
    <w:p>
      <w:r>
        <w:t>Use the following order unless a channel imposes a strict character limit. The strongest candidate information should appear early.</w:t>
      </w:r>
    </w:p>
    <w:tbl>
      <w:tblPr>
        <w:tblW w:type="auto" w:w="0"/>
        <w:jc w:val="center"/>
        <w:tblLayout w:type="fixed"/>
        <w:tblLook w:firstColumn="1" w:firstRow="1" w:lastColumn="0" w:lastRow="0" w:noHBand="0" w:noVBand="1" w:val="04A0"/>
      </w:tblPr>
      <w:tblGrid>
        <w:gridCol w:w="720"/>
        <w:gridCol w:w="2952"/>
        <w:gridCol w:w="5976"/>
      </w:tblGrid>
      <w:tr>
        <w:tc>
          <w:tcPr>
            <w:tcW w:type="dxa" w:w="3331"/>
            <w:shd w:fill="111111" w:val="clear"/>
            <w:tcMar>
              <w:top w:w="120" w:type="dxa"/>
              <w:start w:w="140" w:type="dxa"/>
              <w:bottom w:w="120" w:type="dxa"/>
              <w:end w:w="140" w:type="dxa"/>
            </w:tcMar>
            <w:vAlign w:val="center"/>
          </w:tcPr>
          <w:p>
            <w:pPr>
              <w:jc w:val="center"/>
            </w:pPr>
            <w:r>
              <w:rPr>
                <w:rFonts w:ascii="Arial" w:hAnsi="Arial" w:eastAsia="Arial"/>
                <w:b/>
                <w:color w:val="FFFFFF"/>
                <w:sz w:val="19"/>
              </w:rPr>
              <w:t>#</w:t>
            </w:r>
          </w:p>
        </w:tc>
        <w:tc>
          <w:tcPr>
            <w:tcW w:type="dxa" w:w="3331"/>
            <w:shd w:fill="111111" w:val="clear"/>
            <w:tcMar>
              <w:top w:w="120" w:type="dxa"/>
              <w:start w:w="140" w:type="dxa"/>
              <w:bottom w:w="120" w:type="dxa"/>
              <w:end w:w="140" w:type="dxa"/>
            </w:tcMar>
            <w:vAlign w:val="center"/>
          </w:tcPr>
          <w:p>
            <w:pPr>
              <w:jc w:val="left"/>
            </w:pPr>
            <w:r>
              <w:rPr>
                <w:rFonts w:ascii="Arial" w:hAnsi="Arial" w:eastAsia="Arial"/>
                <w:b/>
                <w:color w:val="FFFFFF"/>
                <w:sz w:val="19"/>
              </w:rPr>
              <w:t>Section</w:t>
            </w:r>
          </w:p>
        </w:tc>
        <w:tc>
          <w:tcPr>
            <w:tcW w:type="dxa" w:w="3331"/>
            <w:shd w:fill="111111" w:val="clear"/>
            <w:tcMar>
              <w:top w:w="120" w:type="dxa"/>
              <w:start w:w="140" w:type="dxa"/>
              <w:bottom w:w="120" w:type="dxa"/>
              <w:end w:w="140" w:type="dxa"/>
            </w:tcMar>
            <w:vAlign w:val="center"/>
          </w:tcPr>
          <w:p>
            <w:pPr>
              <w:jc w:val="left"/>
            </w:pPr>
            <w:r>
              <w:rPr>
                <w:rFonts w:ascii="Arial" w:hAnsi="Arial" w:eastAsia="Arial"/>
                <w:b/>
                <w:color w:val="FFFFFF"/>
                <w:sz w:val="19"/>
              </w:rPr>
              <w:t>Purpose</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1</w:t>
            </w:r>
          </w:p>
        </w:tc>
        <w:tc>
          <w:tcPr>
            <w:tcW w:type="dxa" w:w="2952"/>
            <w:tcMar>
              <w:top w:w="120" w:type="dxa"/>
              <w:start w:w="140" w:type="dxa"/>
              <w:bottom w:w="120" w:type="dxa"/>
              <w:end w:w="140" w:type="dxa"/>
            </w:tcMar>
            <w:vAlign w:val="center"/>
          </w:tcPr>
          <w:p>
            <w:pPr>
              <w:jc w:val="left"/>
            </w:pPr>
            <w:r>
              <w:rPr>
                <w:rFonts w:ascii="Arial" w:hAnsi="Arial" w:eastAsia="Arial"/>
                <w:b/>
                <w:sz w:val="19"/>
              </w:rPr>
              <w:t>Role title and location</w:t>
            </w:r>
          </w:p>
        </w:tc>
        <w:tc>
          <w:tcPr>
            <w:tcW w:type="dxa" w:w="5976"/>
            <w:tcMar>
              <w:top w:w="120" w:type="dxa"/>
              <w:start w:w="140" w:type="dxa"/>
              <w:bottom w:w="120" w:type="dxa"/>
              <w:end w:w="140" w:type="dxa"/>
            </w:tcMar>
            <w:vAlign w:val="center"/>
          </w:tcPr>
          <w:p>
            <w:pPr>
              <w:jc w:val="left"/>
            </w:pPr>
            <w:r>
              <w:rPr>
                <w:rFonts w:ascii="Arial" w:hAnsi="Arial" w:eastAsia="Arial"/>
                <w:b w:val="0"/>
                <w:sz w:val="19"/>
              </w:rPr>
              <w:t>Use the market-recognized title. State the primary office, hybrid arrangement or geographic expectations clearly.</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2</w:t>
            </w:r>
          </w:p>
        </w:tc>
        <w:tc>
          <w:tcPr>
            <w:tcW w:type="dxa" w:w="2952"/>
            <w:tcMar>
              <w:top w:w="120" w:type="dxa"/>
              <w:start w:w="140" w:type="dxa"/>
              <w:bottom w:w="120" w:type="dxa"/>
              <w:end w:w="140" w:type="dxa"/>
            </w:tcMar>
            <w:vAlign w:val="center"/>
          </w:tcPr>
          <w:p>
            <w:pPr>
              <w:jc w:val="left"/>
            </w:pPr>
            <w:r>
              <w:rPr>
                <w:rFonts w:ascii="Arial" w:hAnsi="Arial" w:eastAsia="Arial"/>
                <w:b/>
                <w:sz w:val="19"/>
              </w:rPr>
              <w:t>Opening proposition</w:t>
            </w:r>
          </w:p>
        </w:tc>
        <w:tc>
          <w:tcPr>
            <w:tcW w:type="dxa" w:w="5976"/>
            <w:tcMar>
              <w:top w:w="120" w:type="dxa"/>
              <w:start w:w="140" w:type="dxa"/>
              <w:bottom w:w="120" w:type="dxa"/>
              <w:end w:w="140" w:type="dxa"/>
            </w:tcMar>
            <w:vAlign w:val="center"/>
          </w:tcPr>
          <w:p>
            <w:pPr>
              <w:jc w:val="left"/>
            </w:pPr>
            <w:r>
              <w:rPr>
                <w:rFonts w:ascii="Arial" w:hAnsi="Arial" w:eastAsia="Arial"/>
                <w:b w:val="0"/>
                <w:sz w:val="19"/>
              </w:rPr>
              <w:t>In two or three sentences, explain why the role matters and what kind of opportunity it offers.</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3</w:t>
            </w:r>
          </w:p>
        </w:tc>
        <w:tc>
          <w:tcPr>
            <w:tcW w:type="dxa" w:w="2952"/>
            <w:tcMar>
              <w:top w:w="120" w:type="dxa"/>
              <w:start w:w="140" w:type="dxa"/>
              <w:bottom w:w="120" w:type="dxa"/>
              <w:end w:w="140" w:type="dxa"/>
            </w:tcMar>
            <w:vAlign w:val="center"/>
          </w:tcPr>
          <w:p>
            <w:pPr>
              <w:jc w:val="left"/>
            </w:pPr>
            <w:r>
              <w:rPr>
                <w:rFonts w:ascii="Arial" w:hAnsi="Arial" w:eastAsia="Arial"/>
                <w:b/>
                <w:sz w:val="19"/>
              </w:rPr>
              <w:t>About Janke LLP</w:t>
            </w:r>
          </w:p>
        </w:tc>
        <w:tc>
          <w:tcPr>
            <w:tcW w:type="dxa" w:w="5976"/>
            <w:tcMar>
              <w:top w:w="120" w:type="dxa"/>
              <w:start w:w="140" w:type="dxa"/>
              <w:bottom w:w="120" w:type="dxa"/>
              <w:end w:w="140" w:type="dxa"/>
            </w:tcMar>
            <w:vAlign w:val="center"/>
          </w:tcPr>
          <w:p>
            <w:pPr>
              <w:jc w:val="left"/>
            </w:pPr>
            <w:r>
              <w:rPr>
                <w:rFonts w:ascii="Arial" w:hAnsi="Arial" w:eastAsia="Arial"/>
                <w:b w:val="0"/>
                <w:sz w:val="19"/>
              </w:rPr>
              <w:t>Describe the firm briefly, with emphasis on advisory work, clients, community and the employee experience.</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4</w:t>
            </w:r>
          </w:p>
        </w:tc>
        <w:tc>
          <w:tcPr>
            <w:tcW w:type="dxa" w:w="2952"/>
            <w:tcMar>
              <w:top w:w="120" w:type="dxa"/>
              <w:start w:w="140" w:type="dxa"/>
              <w:bottom w:w="120" w:type="dxa"/>
              <w:end w:w="140" w:type="dxa"/>
            </w:tcMar>
            <w:vAlign w:val="center"/>
          </w:tcPr>
          <w:p>
            <w:pPr>
              <w:jc w:val="left"/>
            </w:pPr>
            <w:r>
              <w:rPr>
                <w:rFonts w:ascii="Arial" w:hAnsi="Arial" w:eastAsia="Arial"/>
                <w:b/>
                <w:sz w:val="19"/>
              </w:rPr>
              <w:t>What you will do</w:t>
            </w:r>
          </w:p>
        </w:tc>
        <w:tc>
          <w:tcPr>
            <w:tcW w:type="dxa" w:w="5976"/>
            <w:tcMar>
              <w:top w:w="120" w:type="dxa"/>
              <w:start w:w="140" w:type="dxa"/>
              <w:bottom w:w="120" w:type="dxa"/>
              <w:end w:w="140" w:type="dxa"/>
            </w:tcMar>
            <w:vAlign w:val="center"/>
          </w:tcPr>
          <w:p>
            <w:pPr>
              <w:jc w:val="left"/>
            </w:pPr>
            <w:r>
              <w:rPr>
                <w:rFonts w:ascii="Arial" w:hAnsi="Arial" w:eastAsia="Arial"/>
                <w:b w:val="0"/>
                <w:sz w:val="19"/>
              </w:rPr>
              <w:t>List the role’s most important responsibilities and the types of clients, files or decisions involved.</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5</w:t>
            </w:r>
          </w:p>
        </w:tc>
        <w:tc>
          <w:tcPr>
            <w:tcW w:type="dxa" w:w="2952"/>
            <w:tcMar>
              <w:top w:w="120" w:type="dxa"/>
              <w:start w:w="140" w:type="dxa"/>
              <w:bottom w:w="120" w:type="dxa"/>
              <w:end w:w="140" w:type="dxa"/>
            </w:tcMar>
            <w:vAlign w:val="center"/>
          </w:tcPr>
          <w:p>
            <w:pPr>
              <w:jc w:val="left"/>
            </w:pPr>
            <w:r>
              <w:rPr>
                <w:rFonts w:ascii="Arial" w:hAnsi="Arial" w:eastAsia="Arial"/>
                <w:b/>
                <w:sz w:val="19"/>
              </w:rPr>
              <w:t>What you bring</w:t>
            </w:r>
          </w:p>
        </w:tc>
        <w:tc>
          <w:tcPr>
            <w:tcW w:type="dxa" w:w="5976"/>
            <w:tcMar>
              <w:top w:w="120" w:type="dxa"/>
              <w:start w:w="140" w:type="dxa"/>
              <w:bottom w:w="120" w:type="dxa"/>
              <w:end w:w="140" w:type="dxa"/>
            </w:tcMar>
            <w:vAlign w:val="center"/>
          </w:tcPr>
          <w:p>
            <w:pPr>
              <w:jc w:val="left"/>
            </w:pPr>
            <w:r>
              <w:rPr>
                <w:rFonts w:ascii="Arial" w:hAnsi="Arial" w:eastAsia="Arial"/>
                <w:b w:val="0"/>
                <w:sz w:val="19"/>
              </w:rPr>
              <w:t>Separate essential qualifications from preferences. Include designations, experience and practical capabilities.</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6</w:t>
            </w:r>
          </w:p>
        </w:tc>
        <w:tc>
          <w:tcPr>
            <w:tcW w:type="dxa" w:w="2952"/>
            <w:tcMar>
              <w:top w:w="120" w:type="dxa"/>
              <w:start w:w="140" w:type="dxa"/>
              <w:bottom w:w="120" w:type="dxa"/>
              <w:end w:w="140" w:type="dxa"/>
            </w:tcMar>
            <w:vAlign w:val="center"/>
          </w:tcPr>
          <w:p>
            <w:pPr>
              <w:jc w:val="left"/>
            </w:pPr>
            <w:r>
              <w:rPr>
                <w:rFonts w:ascii="Arial" w:hAnsi="Arial" w:eastAsia="Arial"/>
                <w:b/>
                <w:sz w:val="19"/>
              </w:rPr>
              <w:t>What you can expect</w:t>
            </w:r>
          </w:p>
        </w:tc>
        <w:tc>
          <w:tcPr>
            <w:tcW w:type="dxa" w:w="5976"/>
            <w:tcMar>
              <w:top w:w="120" w:type="dxa"/>
              <w:start w:w="140" w:type="dxa"/>
              <w:bottom w:w="120" w:type="dxa"/>
              <w:end w:w="140" w:type="dxa"/>
            </w:tcMar>
            <w:vAlign w:val="center"/>
          </w:tcPr>
          <w:p>
            <w:pPr>
              <w:jc w:val="left"/>
            </w:pPr>
            <w:r>
              <w:rPr>
                <w:rFonts w:ascii="Arial" w:hAnsi="Arial" w:eastAsia="Arial"/>
                <w:b w:val="0"/>
                <w:sz w:val="19"/>
              </w:rPr>
              <w:t>Explain support, tools, development, flexibility, collaboration and the working environment.</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7</w:t>
            </w:r>
          </w:p>
        </w:tc>
        <w:tc>
          <w:tcPr>
            <w:tcW w:type="dxa" w:w="2952"/>
            <w:tcMar>
              <w:top w:w="120" w:type="dxa"/>
              <w:start w:w="140" w:type="dxa"/>
              <w:bottom w:w="120" w:type="dxa"/>
              <w:end w:w="140" w:type="dxa"/>
            </w:tcMar>
            <w:vAlign w:val="center"/>
          </w:tcPr>
          <w:p>
            <w:pPr>
              <w:jc w:val="left"/>
            </w:pPr>
            <w:r>
              <w:rPr>
                <w:rFonts w:ascii="Arial" w:hAnsi="Arial" w:eastAsia="Arial"/>
                <w:b/>
                <w:sz w:val="19"/>
              </w:rPr>
              <w:t>Compensation and practical details</w:t>
            </w:r>
          </w:p>
        </w:tc>
        <w:tc>
          <w:tcPr>
            <w:tcW w:type="dxa" w:w="5976"/>
            <w:tcMar>
              <w:top w:w="120" w:type="dxa"/>
              <w:start w:w="140" w:type="dxa"/>
              <w:bottom w:w="120" w:type="dxa"/>
              <w:end w:w="140" w:type="dxa"/>
            </w:tcMar>
            <w:vAlign w:val="center"/>
          </w:tcPr>
          <w:p>
            <w:pPr>
              <w:jc w:val="left"/>
            </w:pPr>
            <w:r>
              <w:rPr>
                <w:rFonts w:ascii="Arial" w:hAnsi="Arial" w:eastAsia="Arial"/>
                <w:b w:val="0"/>
                <w:sz w:val="19"/>
              </w:rPr>
              <w:t>Provide the approved pay range where required or adopted, plus benefits, schedule, travel and employment status.</w:t>
            </w:r>
          </w:p>
        </w:tc>
      </w:tr>
      <w:tr>
        <w:tc>
          <w:tcPr>
            <w:tcW w:type="dxa" w:w="720"/>
            <w:tcMar>
              <w:top w:w="120" w:type="dxa"/>
              <w:start w:w="140" w:type="dxa"/>
              <w:bottom w:w="120" w:type="dxa"/>
              <w:end w:w="140" w:type="dxa"/>
            </w:tcMar>
            <w:vAlign w:val="center"/>
          </w:tcPr>
          <w:p>
            <w:pPr>
              <w:jc w:val="center"/>
            </w:pPr>
            <w:r>
              <w:rPr>
                <w:rFonts w:ascii="Arial" w:hAnsi="Arial" w:eastAsia="Arial"/>
                <w:b w:val="0"/>
                <w:sz w:val="19"/>
              </w:rPr>
              <w:t>8</w:t>
            </w:r>
          </w:p>
        </w:tc>
        <w:tc>
          <w:tcPr>
            <w:tcW w:type="dxa" w:w="2952"/>
            <w:tcMar>
              <w:top w:w="120" w:type="dxa"/>
              <w:start w:w="140" w:type="dxa"/>
              <w:bottom w:w="120" w:type="dxa"/>
              <w:end w:w="140" w:type="dxa"/>
            </w:tcMar>
            <w:vAlign w:val="center"/>
          </w:tcPr>
          <w:p>
            <w:pPr>
              <w:jc w:val="left"/>
            </w:pPr>
            <w:r>
              <w:rPr>
                <w:rFonts w:ascii="Arial" w:hAnsi="Arial" w:eastAsia="Arial"/>
                <w:b/>
                <w:sz w:val="19"/>
              </w:rPr>
              <w:t>How to apply</w:t>
            </w:r>
          </w:p>
        </w:tc>
        <w:tc>
          <w:tcPr>
            <w:tcW w:type="dxa" w:w="5976"/>
            <w:tcMar>
              <w:top w:w="120" w:type="dxa"/>
              <w:start w:w="140" w:type="dxa"/>
              <w:bottom w:w="120" w:type="dxa"/>
              <w:end w:w="140" w:type="dxa"/>
            </w:tcMar>
            <w:vAlign w:val="center"/>
          </w:tcPr>
          <w:p>
            <w:pPr>
              <w:jc w:val="left"/>
            </w:pPr>
            <w:r>
              <w:rPr>
                <w:rFonts w:ascii="Arial" w:hAnsi="Arial" w:eastAsia="Arial"/>
                <w:b w:val="0"/>
                <w:sz w:val="19"/>
              </w:rPr>
              <w:t>Give one clear action, required materials, deadline if applicable and an accessibility or accommodation statement.</w:t>
            </w:r>
          </w:p>
        </w:tc>
      </w:tr>
    </w:tbl>
    <w:p>
      <w:pPr>
        <w:pStyle w:val="Heading1"/>
        <w:keepNext/>
      </w:pPr>
      <w:r>
        <w:t>4. Writing standards</w:t>
      </w:r>
    </w:p>
    <w:p>
      <w:pPr>
        <w:pStyle w:val="Heading2"/>
        <w:keepNext/>
      </w:pPr>
      <w:r>
        <w:t>Lead with the opportunity, not the vacancy</w:t>
      </w:r>
    </w:p>
    <w:p>
      <w:r>
        <w:t>The opening should tell candidates what they will learn, influence or help improve. Avoid opening with administrative language such as “Janke LLP is accepting applications.”</w:t>
      </w:r>
    </w:p>
    <w:p>
      <w:pPr>
        <w:pStyle w:val="Heading2"/>
        <w:keepNext/>
      </w:pPr>
      <w:r>
        <w:t>Use plain, specific language</w:t>
      </w:r>
    </w:p>
    <w:p>
      <w:pPr>
        <w:pStyle w:val="ListBullet"/>
        <w:spacing w:after="60"/>
      </w:pPr>
      <w:r>
        <w:t>Prefer concrete descriptions of work over broad claims such as “fast-paced,” “dynamic” or “rockstar.”</w:t>
      </w:r>
    </w:p>
    <w:p>
      <w:pPr>
        <w:pStyle w:val="ListBullet"/>
        <w:spacing w:after="60"/>
      </w:pPr>
      <w:r>
        <w:t>Describe the level of responsibility accurately. Do not make routine work sound strategic or promise advancement that is not reasonably available.</w:t>
      </w:r>
    </w:p>
    <w:p>
      <w:pPr>
        <w:pStyle w:val="ListBullet"/>
        <w:spacing w:after="60"/>
      </w:pPr>
      <w:r>
        <w:t>Use “you” when describing the candidate experience and “we” when describing the firm.</w:t>
      </w:r>
    </w:p>
    <w:p>
      <w:pPr>
        <w:pStyle w:val="ListBullet"/>
        <w:spacing w:after="60"/>
      </w:pPr>
      <w:r>
        <w:t>Keep sentences and bullet points concise. Most responsibility bullets should begin with a clear action verb.</w:t>
      </w:r>
    </w:p>
    <w:p>
      <w:pPr>
        <w:pStyle w:val="Heading2"/>
        <w:keepNext/>
      </w:pPr>
      <w:r>
        <w:t>Be inclusive and accessible</w:t>
      </w:r>
    </w:p>
    <w:p>
      <w:pPr>
        <w:pStyle w:val="ListBullet"/>
        <w:spacing w:after="60"/>
      </w:pPr>
      <w:r>
        <w:t>List only requirements that are genuinely necessary to perform the role.</w:t>
      </w:r>
    </w:p>
    <w:p>
      <w:pPr>
        <w:pStyle w:val="ListBullet"/>
        <w:spacing w:after="60"/>
      </w:pPr>
      <w:r>
        <w:t>Avoid gendered, age-coded or culturally narrow language.</w:t>
      </w:r>
    </w:p>
    <w:p>
      <w:pPr>
        <w:pStyle w:val="ListBullet"/>
        <w:spacing w:after="60"/>
      </w:pPr>
      <w:r>
        <w:t>Do not use “culture fit” as a selection concept; describe the behaviours and working practices that matter.</w:t>
      </w:r>
    </w:p>
    <w:p>
      <w:pPr>
        <w:pStyle w:val="ListBullet"/>
        <w:spacing w:after="60"/>
      </w:pPr>
      <w:r>
        <w:t>Include an accommodation statement and a practical contact route for candidates who need support in the application process.</w:t>
      </w:r>
    </w:p>
    <w:p>
      <w:pPr>
        <w:pStyle w:val="ListBullet"/>
        <w:spacing w:after="60"/>
      </w:pPr>
      <w:r>
        <w:t>Use accessible headings, readable contrast, descriptive links and text that remains understandable when copied into a job board.</w:t>
      </w:r>
    </w:p>
    <w:p>
      <w:pPr>
        <w:pStyle w:val="Heading1"/>
        <w:keepNext/>
      </w:pPr>
      <w:r>
        <w:t>5. Content standards by section</w:t>
      </w:r>
    </w:p>
    <w:p>
      <w:pPr>
        <w:pStyle w:val="Heading2"/>
        <w:keepNext/>
      </w:pPr>
      <w:r>
        <w:t>Role title</w:t>
      </w:r>
    </w:p>
    <w:p>
      <w:r>
        <w:t>Use a title candidates will search for. Internal levels or specialty labels may appear as a subtitle, but should not replace a recognizable market title.</w:t>
      </w:r>
    </w:p>
    <w:p>
      <w:pPr>
        <w:pStyle w:val="Heading2"/>
        <w:keepNext/>
      </w:pPr>
      <w:r>
        <w:t>About the firm</w:t>
      </w:r>
    </w:p>
    <w:p>
      <w:r>
        <w:t>Keep this to one compact paragraph. Mention the firm’s advisory-led approach, the kinds of clients served, the Saskatchewan context and the practical impact of the work.</w:t>
      </w:r>
    </w:p>
    <w:p>
      <w:pPr>
        <w:pStyle w:val="Heading2"/>
        <w:keepNext/>
      </w:pPr>
      <w:r>
        <w:t>Responsibilities</w:t>
      </w:r>
    </w:p>
    <w:p>
      <w:r>
        <w:t>Include approximately five to eight meaningful bullets. Group routine tasks where possible and identify advisory, client-facing or leadership responsibilities separately.</w:t>
      </w:r>
    </w:p>
    <w:p>
      <w:pPr>
        <w:pStyle w:val="Heading2"/>
        <w:keepNext/>
      </w:pPr>
      <w:r>
        <w:t>Qualifications</w:t>
      </w:r>
    </w:p>
    <w:p>
      <w:r>
        <w:t>Distinguish required qualifications from assets. Where equivalent experience may be accepted, say so.</w:t>
      </w:r>
    </w:p>
    <w:p>
      <w:pPr>
        <w:pStyle w:val="Heading2"/>
        <w:keepNext/>
      </w:pPr>
      <w:r>
        <w:t>Employee experience</w:t>
      </w:r>
    </w:p>
    <w:p>
      <w:r>
        <w:t>Describe the actual environment: coaching, collaboration, systems, autonomy, scheduling, professional development and community connection. Avoid generic benefit claims that every employer could make.</w:t>
      </w:r>
    </w:p>
    <w:p>
      <w:pPr>
        <w:pStyle w:val="Heading2"/>
        <w:keepNext/>
      </w:pPr>
      <w:r>
        <w:t>Compensation</w:t>
      </w:r>
    </w:p>
    <w:p>
      <w:r>
        <w:t>Use the approved salary or hourly range and explain whether bonus, overtime, benefits or other components are separate. Never publish an unapproved range.</w:t>
      </w:r>
    </w:p>
    <w:p>
      <w:pPr>
        <w:pStyle w:val="Heading2"/>
        <w:keepNext/>
      </w:pPr>
      <w:r>
        <w:t>Application instructions</w:t>
      </w:r>
    </w:p>
    <w:p>
      <w:r>
        <w:t>Specify the action, destination, required documents and timing. Avoid multiple competing calls to action.</w:t>
      </w:r>
    </w:p>
    <w:tbl>
      <w:tblPr>
        <w:tblW w:type="auto" w:w="0"/>
        <w:jc w:val="center"/>
        <w:tblLayout w:type="fixed"/>
        <w:tblLook w:firstColumn="1" w:firstRow="1" w:lastColumn="0" w:lastRow="0" w:noHBand="0" w:noVBand="1" w:val="04A0"/>
      </w:tblPr>
      <w:tblGrid>
        <w:gridCol w:w="9792"/>
      </w:tblGrid>
      <w:tr>
        <w:tc>
          <w:tcPr>
            <w:tcW w:type="dxa" w:w="9994"/>
            <w:shd w:fill="F7F5F0" w:val="clear"/>
            <w:tcMar>
              <w:top w:w="180" w:type="dxa"/>
              <w:start w:w="200" w:type="dxa"/>
              <w:bottom w:w="180" w:type="dxa"/>
              <w:end w:w="200" w:type="dxa"/>
            </w:tcMar>
          </w:tcPr>
          <w:p>
            <w:r>
              <w:rPr>
                <w:rFonts w:ascii="Arial" w:hAnsi="Arial" w:eastAsia="Arial"/>
                <w:b/>
                <w:color w:val="111111"/>
                <w:sz w:val="19"/>
              </w:rPr>
              <w:t>Tone test</w:t>
            </w:r>
          </w:p>
          <w:p>
            <w:r>
              <w:rPr>
                <w:rFonts w:ascii="Arial" w:hAnsi="Arial" w:eastAsia="Arial"/>
                <w:sz w:val="19"/>
              </w:rPr>
              <w:t>A strong posting should sound like an informed professional explaining a worthwhile opportunity to another capable professional. It should not sound like a legal notice, a sales pitch or a collection of recruitment clichés.</w:t>
            </w:r>
          </w:p>
        </w:tc>
      </w:tr>
    </w:tbl>
    <w:p>
      <w:pPr>
        <w:pStyle w:val="Heading1"/>
        <w:keepNext/>
      </w:pPr>
      <w:r>
        <w:t>6. Visual and channel standards</w:t>
      </w:r>
    </w:p>
    <w:p>
      <w:pPr>
        <w:pStyle w:val="ListBullet"/>
        <w:spacing w:after="60"/>
      </w:pPr>
      <w:r>
        <w:t>Use the approved recruitment template and approved monochrome Janke LLP logo assets. Black or white logo treatments are preferred. Do not attach the supporting line to the logo.</w:t>
      </w:r>
    </w:p>
    <w:p>
      <w:pPr>
        <w:pStyle w:val="ListBullet"/>
        <w:spacing w:after="60"/>
      </w:pPr>
      <w:r>
        <w:t>Use Arial for formal and operational recruitment documents. Use Gilroy for headings and display type in designed recruitment campaign materials, with Arial for body copy. Manrope is the preferred digital fallback where Gilroy is unavailable.</w:t>
      </w:r>
    </w:p>
    <w:p>
      <w:pPr>
        <w:pStyle w:val="ListBullet"/>
        <w:spacing w:after="60"/>
      </w:pPr>
      <w:r>
        <w:t>Use near-black and white as the dominant visual system. Prairie Gold may be used selectively for headings, rules, markers or key emphasis; warm white may be used sparingly as a support neutral. Avoid teal, sage or other legacy brand colours.</w:t>
      </w:r>
    </w:p>
    <w:p>
      <w:pPr>
        <w:pStyle w:val="ListBullet"/>
        <w:spacing w:after="60"/>
      </w:pPr>
      <w:r>
        <w:t>Use real Janke LLP people and workplace or community photography where available and consented. Avoid staged stock-office imagery.</w:t>
      </w:r>
    </w:p>
    <w:p>
      <w:pPr>
        <w:pStyle w:val="ListBullet"/>
        <w:spacing w:after="60"/>
      </w:pPr>
      <w:r>
        <w:t>When adapting a posting to LinkedIn, social media or a job board, preserve the role proposition, essential qualifications, location, compensation information and application action.</w:t>
      </w:r>
    </w:p>
    <w:p>
      <w:pPr>
        <w:pStyle w:val="ListBullet"/>
        <w:spacing w:after="60"/>
      </w:pPr>
      <w:r>
        <w:t>All linked application pages must be current, mobile-readable and consistent with the posting.</w:t>
      </w:r>
    </w:p>
    <w:p>
      <w:pPr>
        <w:pStyle w:val="Heading1"/>
        <w:keepNext/>
      </w:pPr>
      <w:r>
        <w:t>7. Review and approval</w:t>
      </w:r>
    </w:p>
    <w:p>
      <w:r>
        <w:t>Before publication, the hiring leader and the person responsible for recruitment or HR should confirm the role scope, qualifications, compensation information, location, employment terms and application process. Marketing should review significant campaigns or newly developed recruitment language for brand alignment.</w:t>
      </w:r>
    </w:p>
    <w:p>
      <w:r>
        <w:br w:type="page"/>
      </w:r>
    </w:p>
    <w:p>
      <w:pPr>
        <w:pStyle w:val="Heading1"/>
        <w:keepNext/>
      </w:pPr>
      <w:r>
        <w:t>8. Release checklist</w:t>
      </w:r>
    </w:p>
    <w:p>
      <w:pPr>
        <w:spacing w:after="100"/>
        <w:ind w:left="115" w:hanging="29"/>
      </w:pPr>
      <w:r>
        <w:rPr>
          <w:rFonts w:ascii="Arial" w:hAnsi="Arial"/>
          <w:color w:val="B58A2C"/>
          <w:sz w:val="22"/>
        </w:rPr>
        <w:t xml:space="preserve">☐  </w:t>
      </w:r>
      <w:r>
        <w:t>The title is recognizable and the location or work arrangement is clear.</w:t>
      </w:r>
    </w:p>
    <w:p>
      <w:pPr>
        <w:spacing w:after="100"/>
        <w:ind w:left="115" w:hanging="29"/>
      </w:pPr>
      <w:r>
        <w:rPr>
          <w:rFonts w:ascii="Arial" w:hAnsi="Arial"/>
          <w:color w:val="B58A2C"/>
          <w:sz w:val="22"/>
        </w:rPr>
        <w:t xml:space="preserve">☐  </w:t>
      </w:r>
      <w:r>
        <w:t>The first paragraph communicates why the opportunity is meaningful.</w:t>
      </w:r>
    </w:p>
    <w:p>
      <w:pPr>
        <w:spacing w:after="100"/>
        <w:ind w:left="115" w:hanging="29"/>
      </w:pPr>
      <w:r>
        <w:rPr>
          <w:rFonts w:ascii="Arial" w:hAnsi="Arial"/>
          <w:color w:val="B58A2C"/>
          <w:sz w:val="22"/>
        </w:rPr>
        <w:t xml:space="preserve">☐  </w:t>
      </w:r>
      <w:r>
        <w:t>The posting reflects all three recruitment pillars without overpromising.</w:t>
      </w:r>
    </w:p>
    <w:p>
      <w:pPr>
        <w:spacing w:after="100"/>
        <w:ind w:left="115" w:hanging="29"/>
      </w:pPr>
      <w:r>
        <w:rPr>
          <w:rFonts w:ascii="Arial" w:hAnsi="Arial"/>
          <w:color w:val="B58A2C"/>
          <w:sz w:val="22"/>
        </w:rPr>
        <w:t xml:space="preserve">☐  </w:t>
      </w:r>
      <w:r>
        <w:t>Responsibilities describe the real work and expected level of judgment.</w:t>
      </w:r>
    </w:p>
    <w:p>
      <w:pPr>
        <w:spacing w:after="100"/>
        <w:ind w:left="115" w:hanging="29"/>
      </w:pPr>
      <w:r>
        <w:rPr>
          <w:rFonts w:ascii="Arial" w:hAnsi="Arial"/>
          <w:color w:val="B58A2C"/>
          <w:sz w:val="22"/>
        </w:rPr>
        <w:t xml:space="preserve">☐  </w:t>
      </w:r>
      <w:r>
        <w:t>Required qualifications are genuinely necessary and assets are labelled separately.</w:t>
      </w:r>
    </w:p>
    <w:p>
      <w:pPr>
        <w:spacing w:after="100"/>
        <w:ind w:left="115" w:hanging="29"/>
      </w:pPr>
      <w:r>
        <w:rPr>
          <w:rFonts w:ascii="Arial" w:hAnsi="Arial"/>
          <w:color w:val="B58A2C"/>
          <w:sz w:val="22"/>
        </w:rPr>
        <w:t xml:space="preserve">☐  </w:t>
      </w:r>
      <w:r>
        <w:t>Compensation, benefits and practical details have been approved.</w:t>
      </w:r>
    </w:p>
    <w:p>
      <w:pPr>
        <w:spacing w:after="100"/>
        <w:ind w:left="115" w:hanging="29"/>
      </w:pPr>
      <w:r>
        <w:rPr>
          <w:rFonts w:ascii="Arial" w:hAnsi="Arial"/>
          <w:color w:val="B58A2C"/>
          <w:sz w:val="22"/>
        </w:rPr>
        <w:t xml:space="preserve">☐  </w:t>
      </w:r>
      <w:r>
        <w:t>The language is inclusive, plainspoken and free of recruitment clichés.</w:t>
      </w:r>
    </w:p>
    <w:p>
      <w:pPr>
        <w:spacing w:after="100"/>
        <w:ind w:left="115" w:hanging="29"/>
      </w:pPr>
      <w:r>
        <w:rPr>
          <w:rFonts w:ascii="Arial" w:hAnsi="Arial"/>
          <w:color w:val="B58A2C"/>
          <w:sz w:val="22"/>
        </w:rPr>
        <w:t xml:space="preserve">☐  </w:t>
      </w:r>
      <w:r>
        <w:t>The accommodation statement and application instructions are complete.</w:t>
      </w:r>
    </w:p>
    <w:p>
      <w:pPr>
        <w:spacing w:after="100"/>
        <w:ind w:left="115" w:hanging="29"/>
      </w:pPr>
      <w:r>
        <w:rPr>
          <w:rFonts w:ascii="Arial" w:hAnsi="Arial"/>
          <w:color w:val="B58A2C"/>
          <w:sz w:val="22"/>
        </w:rPr>
        <w:t xml:space="preserve">☐  </w:t>
      </w:r>
      <w:r>
        <w:t>The posting has been proofread and all links, dates and contact details have been tested.</w:t>
      </w:r>
    </w:p>
    <w:p>
      <w:pPr>
        <w:spacing w:after="100"/>
        <w:ind w:left="115" w:hanging="29"/>
      </w:pPr>
      <w:r>
        <w:rPr>
          <w:rFonts w:ascii="Arial" w:hAnsi="Arial"/>
          <w:color w:val="B58A2C"/>
          <w:sz w:val="22"/>
        </w:rPr>
        <w:t xml:space="preserve">☐  </w:t>
      </w:r>
      <w:r>
        <w:t>The final version has the required internal approvals.</w:t>
      </w:r>
    </w:p>
    <w:p>
      <w:pPr>
        <w:pStyle w:val="Heading1"/>
        <w:keepNext/>
      </w:pPr>
      <w:r>
        <w:t>9. Related templates</w:t>
      </w:r>
    </w:p>
    <w:p>
      <w:r>
        <w:t>Use this standard together with the approved Recruitment Posting Template. The approved template may use a black opening page or panel with Prairie Gold headings and white body copy, while operational job-board versions may remain predominantly white. Campaign graphics, social adaptations and career-page content should be derived from the approved posting rather than written as unrelated versions.</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6B6B"/>
        <w:sz w:val="16"/>
      </w:rPr>
      <w:t>Janke LLP  |  Recruitment Posting Standard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Gilroy" w:hAnsi="Gilroy" w:eastAsia="Arial"/>
      <w:b/>
      <w:bCs/>
      <w:color w:val="B58A2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Gilroy" w:hAnsi="Gilroy" w:eastAsia="Arial"/>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5B5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ilroy" w:hAnsi="Gilroy" w:eastAsia="Arial"/>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Janke LLP Recruitment Posting Standard</dc:title>
  <dc:subject>Brand and recruitment communication standard</dc:subject>
  <dc:creator>Janke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