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 w:after="80"/>
      </w:pPr>
      <w:r>
        <w:rPr>
          <w:rFonts w:ascii="Gilroy" w:hAnsi="Gilroy" w:eastAsia="Gilroy"/>
          <w:b/>
          <w:i w:val="0"/>
          <w:color w:val="B58A2C"/>
          <w:sz w:val="20"/>
        </w:rPr>
        <w:t>CAREERS AT JANKE LLP</w:t>
      </w:r>
    </w:p>
    <w:p>
      <w:pPr>
        <w:widowControl/>
        <w:spacing w:after="80"/>
      </w:pPr>
      <w:r>
        <w:rPr>
          <w:rFonts w:ascii="Gilroy" w:hAnsi="Gilroy" w:eastAsia="Gilroy"/>
          <w:b/>
          <w:i w:val="0"/>
          <w:color w:val="B58A2C"/>
          <w:sz w:val="56"/>
        </w:rPr>
        <w:t>[Recognizable market role title]</w:t>
      </w:r>
    </w:p>
    <w:p>
      <w:pPr>
        <w:widowControl/>
        <w:spacing w:after="240"/>
      </w:pPr>
      <w:r>
        <w:rPr>
          <w:rFonts w:ascii="Arial" w:hAnsi="Arial" w:eastAsia="Arial"/>
          <w:b w:val="0"/>
          <w:i/>
          <w:color w:val="FFFFFF"/>
          <w:sz w:val="24"/>
        </w:rPr>
        <w:t>[Optional specialty, level, or practice-area subtitle]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541"/>
        <w:gridCol w:w="2541"/>
        <w:gridCol w:w="2541"/>
        <w:gridCol w:w="2541"/>
      </w:tblGrid>
      <w:tr>
        <w:tc>
          <w:tcPr>
            <w:tcW w:type="dxa" w:w="1512"/>
            <w:tcMar>
              <w:top w:w="70" w:type="dxa"/>
              <w:start w:w="40" w:type="dxa"/>
              <w:bottom w:w="70" w:type="dxa"/>
              <w:end w:w="80" w:type="dxa"/>
            </w:tcMar>
            <w:vAlign w:val="center"/>
            <w:tcBorders>
              <w:bottom w:val="single" w:sz="4" w:color="66541F"/>
            </w:tcBorders>
          </w:tcPr>
          <w:p>
            <w:pPr>
              <w:spacing w:after="0"/>
            </w:pPr>
            <w:r>
              <w:rPr>
                <w:rFonts w:ascii="Arial" w:hAnsi="Arial" w:eastAsia="Arial"/>
                <w:b/>
                <w:i w:val="0"/>
                <w:color w:val="B58A2C"/>
                <w:sz w:val="19"/>
              </w:rPr>
              <w:t>Location</w:t>
            </w:r>
          </w:p>
        </w:tc>
        <w:tc>
          <w:tcPr>
            <w:tcW w:type="dxa" w:w="3672"/>
            <w:tcMar>
              <w:top w:w="70" w:type="dxa"/>
              <w:start w:w="40" w:type="dxa"/>
              <w:bottom w:w="70" w:type="dxa"/>
              <w:end w:w="80" w:type="dxa"/>
            </w:tcMar>
            <w:vAlign w:val="center"/>
            <w:tcBorders>
              <w:bottom w:val="single" w:sz="4" w:color="66541F"/>
            </w:tcBorders>
          </w:tcPr>
          <w:p>
            <w:pPr>
              <w:spacing w:after="0"/>
            </w:pPr>
            <w:r>
              <w:rPr>
                <w:rFonts w:ascii="Arial" w:hAnsi="Arial" w:eastAsia="Arial"/>
                <w:b w:val="0"/>
                <w:i/>
                <w:color w:val="FFFFFF"/>
                <w:sz w:val="19"/>
              </w:rPr>
              <w:t>[City / hybrid / remote]</w:t>
            </w:r>
          </w:p>
        </w:tc>
        <w:tc>
          <w:tcPr>
            <w:tcW w:type="dxa" w:w="1800"/>
            <w:tcMar>
              <w:top w:w="70" w:type="dxa"/>
              <w:start w:w="40" w:type="dxa"/>
              <w:bottom w:w="70" w:type="dxa"/>
              <w:end w:w="80" w:type="dxa"/>
            </w:tcMar>
            <w:vAlign w:val="center"/>
            <w:tcBorders>
              <w:bottom w:val="single" w:sz="4" w:color="66541F"/>
            </w:tcBorders>
          </w:tcPr>
          <w:p>
            <w:pPr>
              <w:spacing w:after="0"/>
            </w:pPr>
            <w:r>
              <w:rPr>
                <w:rFonts w:ascii="Arial" w:hAnsi="Arial" w:eastAsia="Arial"/>
                <w:b/>
                <w:i w:val="0"/>
                <w:color w:val="B58A2C"/>
                <w:sz w:val="19"/>
              </w:rPr>
              <w:t>Employment type</w:t>
            </w:r>
          </w:p>
        </w:tc>
        <w:tc>
          <w:tcPr>
            <w:tcW w:type="dxa" w:w="3672"/>
            <w:tcMar>
              <w:top w:w="70" w:type="dxa"/>
              <w:start w:w="40" w:type="dxa"/>
              <w:bottom w:w="70" w:type="dxa"/>
              <w:end w:w="80" w:type="dxa"/>
            </w:tcMar>
            <w:vAlign w:val="center"/>
            <w:tcBorders>
              <w:bottom w:val="single" w:sz="4" w:color="66541F"/>
            </w:tcBorders>
          </w:tcPr>
          <w:p>
            <w:pPr>
              <w:spacing w:after="0"/>
            </w:pPr>
            <w:r>
              <w:rPr>
                <w:rFonts w:ascii="Arial" w:hAnsi="Arial" w:eastAsia="Arial"/>
                <w:b w:val="0"/>
                <w:i/>
                <w:color w:val="FFFFFF"/>
                <w:sz w:val="19"/>
              </w:rPr>
              <w:t>[Permanent, term, full-time, etc.]</w:t>
            </w:r>
          </w:p>
        </w:tc>
      </w:tr>
      <w:tr>
        <w:tc>
          <w:tcPr>
            <w:tcW w:type="dxa" w:w="1512"/>
            <w:tcMar>
              <w:top w:w="70" w:type="dxa"/>
              <w:start w:w="40" w:type="dxa"/>
              <w:bottom w:w="70" w:type="dxa"/>
              <w:end w:w="80" w:type="dxa"/>
            </w:tcMar>
            <w:vAlign w:val="center"/>
          </w:tcPr>
          <w:p>
            <w:pPr>
              <w:spacing w:after="0"/>
            </w:pPr>
            <w:r>
              <w:rPr>
                <w:rFonts w:ascii="Arial" w:hAnsi="Arial" w:eastAsia="Arial"/>
                <w:b/>
                <w:i w:val="0"/>
                <w:color w:val="B58A2C"/>
                <w:sz w:val="19"/>
              </w:rPr>
              <w:t>Reports to</w:t>
            </w:r>
          </w:p>
        </w:tc>
        <w:tc>
          <w:tcPr>
            <w:tcW w:type="dxa" w:w="3672"/>
            <w:tcMar>
              <w:top w:w="70" w:type="dxa"/>
              <w:start w:w="40" w:type="dxa"/>
              <w:bottom w:w="70" w:type="dxa"/>
              <w:end w:w="80" w:type="dxa"/>
            </w:tcMar>
            <w:vAlign w:val="center"/>
          </w:tcPr>
          <w:p>
            <w:pPr>
              <w:spacing w:after="0"/>
            </w:pPr>
            <w:r>
              <w:rPr>
                <w:rFonts w:ascii="Arial" w:hAnsi="Arial" w:eastAsia="Arial"/>
                <w:b w:val="0"/>
                <w:i/>
                <w:color w:val="FFFFFF"/>
                <w:sz w:val="19"/>
              </w:rPr>
              <w:t>[Role title]</w:t>
            </w:r>
          </w:p>
        </w:tc>
        <w:tc>
          <w:tcPr>
            <w:tcW w:type="dxa" w:w="1800"/>
            <w:tcMar>
              <w:top w:w="70" w:type="dxa"/>
              <w:start w:w="40" w:type="dxa"/>
              <w:bottom w:w="70" w:type="dxa"/>
              <w:end w:w="80" w:type="dxa"/>
            </w:tcMar>
            <w:vAlign w:val="center"/>
          </w:tcPr>
          <w:p>
            <w:pPr>
              <w:spacing w:after="0"/>
            </w:pPr>
            <w:r>
              <w:rPr>
                <w:rFonts w:ascii="Arial" w:hAnsi="Arial" w:eastAsia="Arial"/>
                <w:b/>
                <w:i w:val="0"/>
                <w:color w:val="B58A2C"/>
                <w:sz w:val="19"/>
              </w:rPr>
              <w:t>Compensation</w:t>
            </w:r>
          </w:p>
        </w:tc>
        <w:tc>
          <w:tcPr>
            <w:tcW w:type="dxa" w:w="3672"/>
            <w:tcMar>
              <w:top w:w="70" w:type="dxa"/>
              <w:start w:w="40" w:type="dxa"/>
              <w:bottom w:w="70" w:type="dxa"/>
              <w:end w:w="80" w:type="dxa"/>
            </w:tcMar>
            <w:vAlign w:val="center"/>
          </w:tcPr>
          <w:p>
            <w:pPr>
              <w:spacing w:after="0"/>
            </w:pPr>
            <w:r>
              <w:rPr>
                <w:rFonts w:ascii="Arial" w:hAnsi="Arial" w:eastAsia="Arial"/>
                <w:b w:val="0"/>
                <w:i/>
                <w:color w:val="FFFFFF"/>
                <w:sz w:val="19"/>
              </w:rPr>
              <w:t>[$XX,XXX-$XX,XXX + approved details]</w:t>
            </w:r>
          </w:p>
        </w:tc>
      </w:tr>
    </w:tbl>
    <w:p>
      <w:pPr>
        <w:keepNext/>
        <w:widowControl/>
        <w:spacing w:before="240" w:after="80"/>
      </w:pPr>
      <w:r>
        <w:rPr>
          <w:rFonts w:ascii="Gilroy" w:hAnsi="Gilroy" w:eastAsia="Gilroy"/>
          <w:b/>
          <w:i w:val="0"/>
          <w:color w:val="B58A2C"/>
          <w:sz w:val="36"/>
        </w:rPr>
        <w:t>The opportunity</w:t>
      </w:r>
    </w:p>
    <w:p>
      <w:pPr>
        <w:widowControl/>
        <w:spacing w:before="0" w:after="140" w:line="269" w:lineRule="auto"/>
      </w:pPr>
      <w:r>
        <w:rPr>
          <w:rFonts w:ascii="Arial" w:hAnsi="Arial" w:eastAsia="Arial"/>
          <w:b w:val="0"/>
          <w:i/>
          <w:color w:val="FFFFFF"/>
          <w:sz w:val="21"/>
        </w:rPr>
        <w:t>[Open with two or three sentences explaining what the successful candidate will learn, influence, or help improve. Lead with the opportunity rather than the vacancy.]</w:t>
      </w:r>
    </w:p>
    <w:p>
      <w:pPr>
        <w:keepNext/>
        <w:widowControl/>
        <w:spacing w:before="160" w:after="80"/>
      </w:pPr>
      <w:r>
        <w:rPr>
          <w:rFonts w:ascii="Gilroy" w:hAnsi="Gilroy" w:eastAsia="Gilroy"/>
          <w:b/>
          <w:i w:val="0"/>
          <w:color w:val="B58A2C"/>
          <w:sz w:val="36"/>
        </w:rPr>
        <w:t>About Janke LLP</w:t>
      </w:r>
    </w:p>
    <w:p>
      <w:pPr>
        <w:widowControl/>
        <w:spacing w:before="0" w:after="140" w:line="269" w:lineRule="auto"/>
      </w:pPr>
      <w:r>
        <w:rPr>
          <w:rFonts w:ascii="Arial" w:hAnsi="Arial" w:eastAsia="Arial"/>
          <w:b w:val="0"/>
          <w:i/>
          <w:color w:val="FFFFFF"/>
          <w:sz w:val="21"/>
        </w:rPr>
        <w:t>[Describe Janke LLP as an advisory-led CPA firm serving Saskatchewan businesses, families, professionals and communities. Keep this compact, specific and credible.]</w:t>
      </w:r>
    </w:p>
    <w:p>
      <w:pPr>
        <w:keepNext/>
        <w:widowControl/>
        <w:spacing w:before="160" w:after="60"/>
      </w:pPr>
      <w:r>
        <w:rPr>
          <w:rFonts w:ascii="Gilroy" w:hAnsi="Gilroy" w:eastAsia="Gilroy"/>
          <w:b/>
          <w:i w:val="0"/>
          <w:color w:val="B58A2C"/>
          <w:sz w:val="36"/>
        </w:rPr>
        <w:t>What you will do</w:t>
      </w:r>
    </w:p>
    <w:p>
      <w:pPr>
        <w:widowControl/>
        <w:spacing w:after="40"/>
        <w:ind w:left="58"/>
      </w:pPr>
      <w:r>
        <w:rPr>
          <w:rFonts w:ascii="Arial" w:hAnsi="Arial" w:eastAsia="Arial"/>
          <w:b/>
          <w:i w:val="0"/>
          <w:color w:val="B58A2C"/>
          <w:sz w:val="20"/>
        </w:rPr>
        <w:t xml:space="preserve">•  </w:t>
      </w:r>
      <w:r>
        <w:rPr>
          <w:rFonts w:ascii="Arial" w:hAnsi="Arial" w:eastAsia="Arial"/>
          <w:b w:val="0"/>
          <w:i/>
          <w:color w:val="FFFFFF"/>
          <w:sz w:val="20"/>
        </w:rPr>
        <w:t>[Deliver or support...]</w:t>
      </w:r>
    </w:p>
    <w:p>
      <w:pPr>
        <w:widowControl/>
        <w:spacing w:after="40"/>
        <w:ind w:left="58"/>
      </w:pPr>
      <w:r>
        <w:rPr>
          <w:rFonts w:ascii="Arial" w:hAnsi="Arial" w:eastAsia="Arial"/>
          <w:b/>
          <w:i w:val="0"/>
          <w:color w:val="B58A2C"/>
          <w:sz w:val="20"/>
        </w:rPr>
        <w:t xml:space="preserve">•  </w:t>
      </w:r>
      <w:r>
        <w:rPr>
          <w:rFonts w:ascii="Arial" w:hAnsi="Arial" w:eastAsia="Arial"/>
          <w:b w:val="0"/>
          <w:i/>
          <w:color w:val="FFFFFF"/>
          <w:sz w:val="20"/>
        </w:rPr>
        <w:t>[Work directly with clients to...]</w:t>
      </w:r>
    </w:p>
    <w:p>
      <w:pPr>
        <w:widowControl/>
        <w:spacing w:after="40"/>
        <w:ind w:left="58"/>
      </w:pPr>
      <w:r>
        <w:rPr>
          <w:rFonts w:ascii="Arial" w:hAnsi="Arial" w:eastAsia="Arial"/>
          <w:b/>
          <w:i w:val="0"/>
          <w:color w:val="B58A2C"/>
          <w:sz w:val="20"/>
        </w:rPr>
        <w:t xml:space="preserve">•  </w:t>
      </w:r>
      <w:r>
        <w:rPr>
          <w:rFonts w:ascii="Arial" w:hAnsi="Arial" w:eastAsia="Arial"/>
          <w:b w:val="0"/>
          <w:i/>
          <w:color w:val="FFFFFF"/>
          <w:sz w:val="20"/>
        </w:rPr>
        <w:t>[Analyze, prepare or advise on...]</w:t>
      </w:r>
    </w:p>
    <w:p>
      <w:pPr>
        <w:widowControl/>
        <w:spacing w:after="40"/>
        <w:ind w:left="58"/>
      </w:pPr>
      <w:r>
        <w:rPr>
          <w:rFonts w:ascii="Arial" w:hAnsi="Arial" w:eastAsia="Arial"/>
          <w:b/>
          <w:i w:val="0"/>
          <w:color w:val="B58A2C"/>
          <w:sz w:val="20"/>
        </w:rPr>
        <w:t xml:space="preserve">•  </w:t>
      </w:r>
      <w:r>
        <w:rPr>
          <w:rFonts w:ascii="Arial" w:hAnsi="Arial" w:eastAsia="Arial"/>
          <w:b w:val="0"/>
          <w:i/>
          <w:color w:val="FFFFFF"/>
          <w:sz w:val="20"/>
        </w:rPr>
        <w:t>[Use approved systems and tools to...]</w:t>
      </w:r>
    </w:p>
    <w:p>
      <w:pPr>
        <w:widowControl/>
        <w:spacing w:after="40"/>
        <w:ind w:left="58"/>
      </w:pPr>
      <w:r>
        <w:rPr>
          <w:rFonts w:ascii="Arial" w:hAnsi="Arial" w:eastAsia="Arial"/>
          <w:b/>
          <w:i w:val="0"/>
          <w:color w:val="B58A2C"/>
          <w:sz w:val="20"/>
        </w:rPr>
        <w:t xml:space="preserve">•  </w:t>
      </w:r>
      <w:r>
        <w:rPr>
          <w:rFonts w:ascii="Arial" w:hAnsi="Arial" w:eastAsia="Arial"/>
          <w:b w:val="0"/>
          <w:i/>
          <w:color w:val="FFFFFF"/>
          <w:sz w:val="20"/>
        </w:rPr>
        <w:t>[Collaborate with...]</w:t>
      </w:r>
    </w:p>
    <w:p>
      <w:pPr>
        <w:widowControl/>
        <w:spacing w:after="40"/>
        <w:ind w:left="58"/>
      </w:pPr>
      <w:r>
        <w:rPr>
          <w:rFonts w:ascii="Arial" w:hAnsi="Arial" w:eastAsia="Arial"/>
          <w:b/>
          <w:i w:val="0"/>
          <w:color w:val="B58A2C"/>
          <w:sz w:val="20"/>
        </w:rPr>
        <w:t xml:space="preserve">•  </w:t>
      </w:r>
      <w:r>
        <w:rPr>
          <w:rFonts w:ascii="Arial" w:hAnsi="Arial" w:eastAsia="Arial"/>
          <w:b w:val="0"/>
          <w:i/>
          <w:color w:val="FFFFFF"/>
          <w:sz w:val="20"/>
        </w:rPr>
        <w:t>[Contribute to...]</w:t>
      </w:r>
    </w:p>
    <w:p>
      <w:pPr>
        <w:widowControl/>
      </w:pPr>
      <w:r>
        <w:br w:type="page"/>
      </w:r>
    </w:p>
    <w:p>
      <w:pPr>
        <w:keepNext/>
        <w:widowControl/>
        <w:spacing w:before="80" w:after="160"/>
      </w:pPr>
      <w:r>
        <w:rPr>
          <w:rFonts w:ascii="Gilroy" w:hAnsi="Gilroy" w:eastAsia="Gilroy"/>
          <w:b/>
          <w:i w:val="0"/>
          <w:color w:val="111111"/>
          <w:sz w:val="36"/>
        </w:rPr>
        <w:t>What you bring</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4968"/>
            <w:tcMar>
              <w:top w:w="40" w:type="dxa"/>
              <w:start w:w="0" w:type="dxa"/>
              <w:bottom w:w="40" w:type="dxa"/>
              <w:end w:w="140" w:type="dxa"/>
            </w:tcMar>
            <w:tcBorders>
              <w:right w:val="single" w:sz="5" w:color="B58A2C"/>
            </w:tcBorders>
          </w:tcPr>
          <w:p>
            <w:pPr>
              <w:spacing w:after="80"/>
            </w:pPr>
            <w:r>
              <w:rPr>
                <w:rFonts w:ascii="Gilroy" w:hAnsi="Gilroy" w:eastAsia="Gilroy"/>
                <w:b/>
                <w:i w:val="0"/>
                <w:color w:val="B58A2C"/>
                <w:sz w:val="24"/>
              </w:rPr>
              <w:t>Required</w:t>
            </w:r>
          </w:p>
          <w:p>
            <w:pPr>
              <w:pStyle w:val="ListBullet"/>
              <w:spacing w:after="40" w:line="259" w:lineRule="auto"/>
            </w:pPr>
            <w:r>
              <w:rPr>
                <w:rFonts w:ascii="Arial" w:hAnsi="Arial" w:eastAsia="Arial"/>
                <w:b w:val="0"/>
                <w:i/>
                <w:color w:val="666666"/>
                <w:sz w:val="20"/>
              </w:rPr>
              <w:t>[Qualification genuinely necessary for the role]</w:t>
            </w:r>
          </w:p>
          <w:p>
            <w:pPr>
              <w:pStyle w:val="ListBullet"/>
              <w:spacing w:after="40" w:line="259" w:lineRule="auto"/>
            </w:pPr>
            <w:r>
              <w:rPr>
                <w:rFonts w:ascii="Arial" w:hAnsi="Arial" w:eastAsia="Arial"/>
                <w:b w:val="0"/>
                <w:i/>
                <w:color w:val="666666"/>
                <w:sz w:val="20"/>
              </w:rPr>
              <w:t>[Required experience, designation or education]</w:t>
            </w:r>
          </w:p>
          <w:p>
            <w:pPr>
              <w:pStyle w:val="ListBullet"/>
              <w:spacing w:after="40" w:line="259" w:lineRule="auto"/>
            </w:pPr>
            <w:r>
              <w:rPr>
                <w:rFonts w:ascii="Arial" w:hAnsi="Arial" w:eastAsia="Arial"/>
                <w:b w:val="0"/>
                <w:i/>
                <w:color w:val="666666"/>
                <w:sz w:val="20"/>
              </w:rPr>
              <w:t>[Required technical or interpersonal capability]</w:t>
            </w:r>
          </w:p>
        </w:tc>
        <w:tc>
          <w:tcPr>
            <w:tcW w:type="dxa" w:w="4968"/>
            <w:tcMar>
              <w:top w:w="40" w:type="dxa"/>
              <w:start w:w="0" w:type="dxa"/>
              <w:bottom w:w="40" w:type="dxa"/>
              <w:end w:w="140" w:type="dxa"/>
            </w:tcMar>
          </w:tcPr>
          <w:p>
            <w:pPr>
              <w:spacing w:after="80"/>
            </w:pPr>
            <w:r>
              <w:rPr>
                <w:rFonts w:ascii="Gilroy" w:hAnsi="Gilroy" w:eastAsia="Gilroy"/>
                <w:b/>
                <w:i w:val="0"/>
                <w:color w:val="B58A2C"/>
                <w:sz w:val="24"/>
              </w:rPr>
              <w:t>Assets</w:t>
            </w:r>
          </w:p>
          <w:p>
            <w:pPr>
              <w:pStyle w:val="ListBullet"/>
              <w:spacing w:after="40" w:line="259" w:lineRule="auto"/>
            </w:pPr>
            <w:r>
              <w:rPr>
                <w:rFonts w:ascii="Arial" w:hAnsi="Arial" w:eastAsia="Arial"/>
                <w:b w:val="0"/>
                <w:i/>
                <w:color w:val="666666"/>
                <w:sz w:val="20"/>
              </w:rPr>
              <w:t>[Preferred experience or sector exposure]</w:t>
            </w:r>
          </w:p>
          <w:p>
            <w:pPr>
              <w:pStyle w:val="ListBullet"/>
              <w:spacing w:after="40" w:line="259" w:lineRule="auto"/>
            </w:pPr>
            <w:r>
              <w:rPr>
                <w:rFonts w:ascii="Arial" w:hAnsi="Arial" w:eastAsia="Arial"/>
                <w:b w:val="0"/>
                <w:i/>
                <w:color w:val="666666"/>
                <w:sz w:val="20"/>
              </w:rPr>
              <w:t>[Additional software, tax or advisory experience]</w:t>
            </w:r>
          </w:p>
          <w:p>
            <w:pPr>
              <w:pStyle w:val="ListBullet"/>
              <w:spacing w:after="40" w:line="259" w:lineRule="auto"/>
            </w:pPr>
            <w:r>
              <w:rPr>
                <w:rFonts w:ascii="Arial" w:hAnsi="Arial" w:eastAsia="Arial"/>
                <w:b w:val="0"/>
                <w:i/>
                <w:color w:val="666666"/>
                <w:sz w:val="20"/>
              </w:rPr>
              <w:t>[Other relevant strengths]</w:t>
            </w:r>
          </w:p>
        </w:tc>
      </w:tr>
    </w:tbl>
    <w:p>
      <w:pPr>
        <w:keepNext/>
        <w:widowControl/>
        <w:spacing w:before="240" w:after="80"/>
      </w:pPr>
      <w:r>
        <w:rPr>
          <w:rFonts w:ascii="Gilroy" w:hAnsi="Gilroy" w:eastAsia="Gilroy"/>
          <w:b/>
          <w:i w:val="0"/>
          <w:color w:val="111111"/>
          <w:sz w:val="36"/>
        </w:rPr>
        <w:t>Why build your career at Janke LLP?</w:t>
      </w:r>
    </w:p>
    <w:p>
      <w:pPr>
        <w:widowControl/>
        <w:spacing w:before="0" w:after="160" w:line="269" w:lineRule="auto"/>
      </w:pPr>
      <w:r>
        <w:rPr>
          <w:rFonts w:ascii="Arial" w:hAnsi="Arial" w:eastAsia="Arial"/>
          <w:b w:val="0"/>
          <w:i/>
          <w:color w:val="666666"/>
          <w:sz w:val="21"/>
        </w:rPr>
        <w:t>[Use a brief transition connecting this role to the candidate experience. Tailor each pillar below with truthful, role-specific evidence.]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36"/>
        <w:gridCol w:w="9288"/>
      </w:tblGrid>
      <w:tr>
        <w:tc>
          <w:tcPr>
            <w:tcW w:type="dxa" w:w="5083"/>
            <w:tcMar>
              <w:top w:w="80" w:type="dxa"/>
              <w:start w:w="0" w:type="dxa"/>
              <w:bottom w:w="80" w:type="dxa"/>
              <w:end w:w="80" w:type="dxa"/>
            </w:tcMar>
          </w:tcPr>
          <w:p>
            <w:pPr>
              <w:jc w:val="center"/>
            </w:pPr>
            <w:r>
              <w:rPr>
                <w:rFonts w:ascii="Gilroy" w:hAnsi="Gilroy" w:eastAsia="Gilroy"/>
                <w:b/>
                <w:i w:val="0"/>
                <w:color w:val="B58A2C"/>
                <w:sz w:val="36"/>
              </w:rPr>
              <w:t>01</w:t>
            </w:r>
          </w:p>
        </w:tc>
        <w:tc>
          <w:tcPr>
            <w:tcW w:type="dxa" w:w="5083"/>
            <w:tcMar>
              <w:top w:w="70" w:type="dxa"/>
              <w:start w:w="80" w:type="dxa"/>
              <w:bottom w:w="70" w:type="dxa"/>
              <w:end w:w="0" w:type="dxa"/>
            </w:tcMar>
          </w:tcPr>
          <w:p>
            <w:pPr>
              <w:spacing w:after="40"/>
            </w:pPr>
            <w:r>
              <w:rPr>
                <w:rFonts w:ascii="Gilroy" w:hAnsi="Gilroy" w:eastAsia="Gilroy"/>
                <w:b/>
                <w:i w:val="0"/>
                <w:color w:val="111111"/>
                <w:sz w:val="23"/>
              </w:rPr>
              <w:t>Sophisticated work experience</w:t>
            </w:r>
          </w:p>
          <w:p>
            <w:pPr>
              <w:spacing w:after="0" w:line="259" w:lineRule="auto"/>
              <w:pBdr>
                <w:bottom w:val="single" w:sz="4" w:space="4" w:color="B58A2C"/>
              </w:pBdr>
            </w:pPr>
            <w:r>
              <w:rPr>
                <w:rFonts w:ascii="Arial" w:hAnsi="Arial" w:eastAsia="Arial"/>
                <w:b w:val="0"/>
                <w:i/>
                <w:color w:val="666666"/>
                <w:sz w:val="20"/>
              </w:rPr>
              <w:t>[Explain the complexity and variety of the work, the systems used, access to senior professionals, and opportunities to build judgement.]</w:t>
            </w:r>
          </w:p>
        </w:tc>
      </w:tr>
    </w:tbl>
    <w:p>
      <w:pPr>
        <w:widowControl/>
        <w:spacing w:before="0" w:after="40" w:line="269" w:lineRule="auto"/>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36"/>
        <w:gridCol w:w="9288"/>
      </w:tblGrid>
      <w:tr>
        <w:tc>
          <w:tcPr>
            <w:tcW w:type="dxa" w:w="5083"/>
            <w:tcMar>
              <w:top w:w="80" w:type="dxa"/>
              <w:start w:w="0" w:type="dxa"/>
              <w:bottom w:w="80" w:type="dxa"/>
              <w:end w:w="80" w:type="dxa"/>
            </w:tcMar>
          </w:tcPr>
          <w:p>
            <w:pPr>
              <w:jc w:val="center"/>
            </w:pPr>
            <w:r>
              <w:rPr>
                <w:rFonts w:ascii="Gilroy" w:hAnsi="Gilroy" w:eastAsia="Gilroy"/>
                <w:b/>
                <w:i w:val="0"/>
                <w:color w:val="B58A2C"/>
                <w:sz w:val="36"/>
              </w:rPr>
              <w:t>02</w:t>
            </w:r>
          </w:p>
        </w:tc>
        <w:tc>
          <w:tcPr>
            <w:tcW w:type="dxa" w:w="5083"/>
            <w:tcMar>
              <w:top w:w="70" w:type="dxa"/>
              <w:start w:w="80" w:type="dxa"/>
              <w:bottom w:w="70" w:type="dxa"/>
              <w:end w:w="0" w:type="dxa"/>
            </w:tcMar>
          </w:tcPr>
          <w:p>
            <w:pPr>
              <w:spacing w:after="40"/>
            </w:pPr>
            <w:r>
              <w:rPr>
                <w:rFonts w:ascii="Gilroy" w:hAnsi="Gilroy" w:eastAsia="Gilroy"/>
                <w:b/>
                <w:i w:val="0"/>
                <w:color w:val="111111"/>
                <w:sz w:val="23"/>
              </w:rPr>
              <w:t>Visible impact</w:t>
            </w:r>
          </w:p>
          <w:p>
            <w:pPr>
              <w:spacing w:after="0" w:line="259" w:lineRule="auto"/>
              <w:pBdr>
                <w:bottom w:val="single" w:sz="4" w:space="4" w:color="B58A2C"/>
              </w:pBdr>
            </w:pPr>
            <w:r>
              <w:rPr>
                <w:rFonts w:ascii="Arial" w:hAnsi="Arial" w:eastAsia="Arial"/>
                <w:b w:val="0"/>
                <w:i/>
                <w:color w:val="666666"/>
                <w:sz w:val="20"/>
              </w:rPr>
              <w:t>[Explain how the role helps clients, businesses, families or the Saskatchewan community. Describe the candidate’s line of sight to outcomes.]</w:t>
            </w:r>
          </w:p>
        </w:tc>
      </w:tr>
    </w:tbl>
    <w:p>
      <w:pPr>
        <w:widowControl/>
        <w:spacing w:before="0" w:after="40" w:line="269" w:lineRule="auto"/>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36"/>
        <w:gridCol w:w="9288"/>
      </w:tblGrid>
      <w:tr>
        <w:tc>
          <w:tcPr>
            <w:tcW w:type="dxa" w:w="5083"/>
            <w:tcMar>
              <w:top w:w="80" w:type="dxa"/>
              <w:start w:w="0" w:type="dxa"/>
              <w:bottom w:w="80" w:type="dxa"/>
              <w:end w:w="80" w:type="dxa"/>
            </w:tcMar>
          </w:tcPr>
          <w:p>
            <w:pPr>
              <w:jc w:val="center"/>
            </w:pPr>
            <w:r>
              <w:rPr>
                <w:rFonts w:ascii="Gilroy" w:hAnsi="Gilroy" w:eastAsia="Gilroy"/>
                <w:b/>
                <w:i w:val="0"/>
                <w:color w:val="B58A2C"/>
                <w:sz w:val="36"/>
              </w:rPr>
              <w:t>03</w:t>
            </w:r>
          </w:p>
        </w:tc>
        <w:tc>
          <w:tcPr>
            <w:tcW w:type="dxa" w:w="5083"/>
            <w:tcMar>
              <w:top w:w="70" w:type="dxa"/>
              <w:start w:w="80" w:type="dxa"/>
              <w:bottom w:w="70" w:type="dxa"/>
              <w:end w:w="0" w:type="dxa"/>
            </w:tcMar>
          </w:tcPr>
          <w:p>
            <w:pPr>
              <w:spacing w:after="40"/>
            </w:pPr>
            <w:r>
              <w:rPr>
                <w:rFonts w:ascii="Gilroy" w:hAnsi="Gilroy" w:eastAsia="Gilroy"/>
                <w:b/>
                <w:i w:val="0"/>
                <w:color w:val="111111"/>
                <w:sz w:val="23"/>
              </w:rPr>
              <w:t>A high-quality professional life</w:t>
            </w:r>
          </w:p>
          <w:p>
            <w:pPr>
              <w:spacing w:after="0" w:line="259" w:lineRule="auto"/>
              <w:pBdr>
                <w:bottom w:val="single" w:sz="4" w:space="4" w:color="B58A2C"/>
              </w:pBdr>
            </w:pPr>
            <w:r>
              <w:rPr>
                <w:rFonts w:ascii="Arial" w:hAnsi="Arial" w:eastAsia="Arial"/>
                <w:b w:val="0"/>
                <w:i/>
                <w:color w:val="666666"/>
                <w:sz w:val="20"/>
              </w:rPr>
              <w:t>[Describe the real working environment: coaching, autonomy, collaboration, scheduling practices, professional development and community connection.]</w:t>
            </w:r>
          </w:p>
        </w:tc>
      </w:tr>
    </w:tbl>
    <w:p>
      <w:pPr>
        <w:widowControl/>
        <w:spacing w:before="0" w:after="40" w:line="269" w:lineRule="auto"/>
      </w:pPr>
    </w:p>
    <w:p>
      <w:pPr>
        <w:widowControl/>
      </w:pPr>
      <w:r>
        <w:br w:type="page"/>
      </w:r>
    </w:p>
    <w:p>
      <w:pPr>
        <w:keepNext/>
        <w:widowControl/>
        <w:spacing w:before="80" w:after="80"/>
      </w:pPr>
      <w:r>
        <w:rPr>
          <w:rFonts w:ascii="Gilroy" w:hAnsi="Gilroy" w:eastAsia="Gilroy"/>
          <w:b/>
          <w:i w:val="0"/>
          <w:color w:val="111111"/>
          <w:sz w:val="36"/>
        </w:rPr>
        <w:t>Compensation and benefits</w:t>
      </w:r>
    </w:p>
    <w:p>
      <w:pPr>
        <w:widowControl/>
        <w:spacing w:before="0" w:after="160" w:line="269" w:lineRule="auto"/>
      </w:pPr>
      <w:r>
        <w:rPr>
          <w:rFonts w:ascii="Arial" w:hAnsi="Arial" w:eastAsia="Arial"/>
          <w:b w:val="0"/>
          <w:i/>
          <w:color w:val="666666"/>
          <w:sz w:val="21"/>
        </w:rPr>
        <w:t>[State the approved salary or hourly range in Canadian dollars. Clarify whether bonus, overtime, pension, benefits, paid professional development, CPA program support or other components are separate.]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096"/>
        <w:gridCol w:w="7056"/>
      </w:tblGrid>
      <w:tr>
        <w:tc>
          <w:tcPr>
            <w:tcW w:type="dxa" w:w="5083"/>
            <w:tcMar>
              <w:top w:w="90" w:type="dxa"/>
              <w:start w:w="0" w:type="dxa"/>
              <w:bottom w:w="90" w:type="dxa"/>
              <w:end w:w="100" w:type="dxa"/>
            </w:tcMar>
          </w:tcPr>
          <w:p>
            <w:pPr>
              <w:pBdr>
                <w:bottom w:val="single" w:sz="3" w:space="3" w:color="D9D6D0"/>
              </w:pBdr>
            </w:pPr>
            <w:r>
              <w:rPr>
                <w:rFonts w:ascii="Arial" w:hAnsi="Arial" w:eastAsia="Arial"/>
                <w:b/>
                <w:i w:val="0"/>
                <w:color w:val="111111"/>
                <w:sz w:val="20"/>
              </w:rPr>
              <w:t>Base compensation</w:t>
            </w:r>
          </w:p>
        </w:tc>
        <w:tc>
          <w:tcPr>
            <w:tcW w:type="dxa" w:w="5083"/>
            <w:tcMar>
              <w:top w:w="90" w:type="dxa"/>
              <w:start w:w="100" w:type="dxa"/>
              <w:bottom w:w="90" w:type="dxa"/>
              <w:end w:w="0" w:type="dxa"/>
            </w:tcMar>
          </w:tcPr>
          <w:p>
            <w:pPr>
              <w:pBdr>
                <w:bottom w:val="single" w:sz="3" w:space="3" w:color="D9D6D0"/>
              </w:pBdr>
            </w:pPr>
            <w:r>
              <w:rPr>
                <w:rFonts w:ascii="Arial" w:hAnsi="Arial" w:eastAsia="Arial"/>
                <w:b w:val="0"/>
                <w:i/>
                <w:color w:val="666666"/>
                <w:sz w:val="20"/>
              </w:rPr>
              <w:t>[$XX,XXX-$XX,XXX annually / $XX-$XX per hour]</w:t>
            </w:r>
          </w:p>
        </w:tc>
      </w:tr>
      <w:tr>
        <w:tc>
          <w:tcPr>
            <w:tcW w:type="dxa" w:w="5083"/>
            <w:tcMar>
              <w:top w:w="90" w:type="dxa"/>
              <w:start w:w="0" w:type="dxa"/>
              <w:bottom w:w="90" w:type="dxa"/>
              <w:end w:w="100" w:type="dxa"/>
            </w:tcMar>
          </w:tcPr>
          <w:p>
            <w:pPr>
              <w:pBdr>
                <w:bottom w:val="single" w:sz="3" w:space="3" w:color="D9D6D0"/>
              </w:pBdr>
            </w:pPr>
            <w:r>
              <w:rPr>
                <w:rFonts w:ascii="Arial" w:hAnsi="Arial" w:eastAsia="Arial"/>
                <w:b/>
                <w:i w:val="0"/>
                <w:color w:val="111111"/>
                <w:sz w:val="20"/>
              </w:rPr>
              <w:t>Additional compensation</w:t>
            </w:r>
          </w:p>
        </w:tc>
        <w:tc>
          <w:tcPr>
            <w:tcW w:type="dxa" w:w="5083"/>
            <w:tcMar>
              <w:top w:w="90" w:type="dxa"/>
              <w:start w:w="100" w:type="dxa"/>
              <w:bottom w:w="90" w:type="dxa"/>
              <w:end w:w="0" w:type="dxa"/>
            </w:tcMar>
          </w:tcPr>
          <w:p>
            <w:pPr>
              <w:pBdr>
                <w:bottom w:val="single" w:sz="3" w:space="3" w:color="D9D6D0"/>
              </w:pBdr>
            </w:pPr>
            <w:r>
              <w:rPr>
                <w:rFonts w:ascii="Arial" w:hAnsi="Arial" w:eastAsia="Arial"/>
                <w:b w:val="0"/>
                <w:i/>
                <w:color w:val="666666"/>
                <w:sz w:val="20"/>
              </w:rPr>
              <w:t>[Bonus, overtime or “Not applicable”]</w:t>
            </w:r>
          </w:p>
        </w:tc>
      </w:tr>
      <w:tr>
        <w:tc>
          <w:tcPr>
            <w:tcW w:type="dxa" w:w="5083"/>
            <w:tcMar>
              <w:top w:w="90" w:type="dxa"/>
              <w:start w:w="0" w:type="dxa"/>
              <w:bottom w:w="90" w:type="dxa"/>
              <w:end w:w="100" w:type="dxa"/>
            </w:tcMar>
          </w:tcPr>
          <w:p>
            <w:pPr>
              <w:pBdr>
                <w:bottom w:val="single" w:sz="3" w:space="3" w:color="D9D6D0"/>
              </w:pBdr>
            </w:pPr>
            <w:r>
              <w:rPr>
                <w:rFonts w:ascii="Arial" w:hAnsi="Arial" w:eastAsia="Arial"/>
                <w:b/>
                <w:i w:val="0"/>
                <w:color w:val="111111"/>
                <w:sz w:val="20"/>
              </w:rPr>
              <w:t>Benefits</w:t>
            </w:r>
          </w:p>
        </w:tc>
        <w:tc>
          <w:tcPr>
            <w:tcW w:type="dxa" w:w="5083"/>
            <w:tcMar>
              <w:top w:w="90" w:type="dxa"/>
              <w:start w:w="100" w:type="dxa"/>
              <w:bottom w:w="90" w:type="dxa"/>
              <w:end w:w="0" w:type="dxa"/>
            </w:tcMar>
          </w:tcPr>
          <w:p>
            <w:pPr>
              <w:pBdr>
                <w:bottom w:val="single" w:sz="3" w:space="3" w:color="D9D6D0"/>
              </w:pBdr>
            </w:pPr>
            <w:r>
              <w:rPr>
                <w:rFonts w:ascii="Arial" w:hAnsi="Arial" w:eastAsia="Arial"/>
                <w:b w:val="0"/>
                <w:i/>
                <w:color w:val="666666"/>
                <w:sz w:val="20"/>
              </w:rPr>
              <w:t>[Approved benefits summary]</w:t>
            </w:r>
          </w:p>
        </w:tc>
      </w:tr>
      <w:tr>
        <w:tc>
          <w:tcPr>
            <w:tcW w:type="dxa" w:w="5083"/>
            <w:tcMar>
              <w:top w:w="90" w:type="dxa"/>
              <w:start w:w="0" w:type="dxa"/>
              <w:bottom w:w="90" w:type="dxa"/>
              <w:end w:w="100" w:type="dxa"/>
            </w:tcMar>
          </w:tcPr>
          <w:p>
            <w:r>
              <w:rPr>
                <w:rFonts w:ascii="Arial" w:hAnsi="Arial" w:eastAsia="Arial"/>
                <w:b/>
                <w:i w:val="0"/>
                <w:color w:val="111111"/>
                <w:sz w:val="20"/>
              </w:rPr>
              <w:t>Professional development</w:t>
            </w:r>
          </w:p>
        </w:tc>
        <w:tc>
          <w:tcPr>
            <w:tcW w:type="dxa" w:w="5083"/>
            <w:tcMar>
              <w:top w:w="90" w:type="dxa"/>
              <w:start w:w="100" w:type="dxa"/>
              <w:bottom w:w="90" w:type="dxa"/>
              <w:end w:w="0" w:type="dxa"/>
            </w:tcMar>
          </w:tcPr>
          <w:p>
            <w:r>
              <w:rPr>
                <w:rFonts w:ascii="Arial" w:hAnsi="Arial" w:eastAsia="Arial"/>
                <w:b w:val="0"/>
                <w:i/>
                <w:color w:val="666666"/>
                <w:sz w:val="20"/>
              </w:rPr>
              <w:t>[Approved learning, designation or education support]</w:t>
            </w:r>
          </w:p>
        </w:tc>
      </w:tr>
    </w:tbl>
    <w:p>
      <w:pPr>
        <w:keepNext/>
        <w:widowControl/>
        <w:spacing w:before="280" w:after="120"/>
      </w:pPr>
      <w:r>
        <w:rPr>
          <w:rFonts w:ascii="Gilroy" w:hAnsi="Gilroy" w:eastAsia="Gilroy"/>
          <w:b/>
          <w:i w:val="0"/>
          <w:color w:val="111111"/>
          <w:sz w:val="36"/>
        </w:rPr>
        <w:t>How to apply</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166"/>
            <w:shd w:fill="111111"/>
            <w:tcMar>
              <w:top w:w="160" w:type="dxa"/>
              <w:start w:w="180" w:type="dxa"/>
              <w:bottom w:w="160" w:type="dxa"/>
              <w:end w:w="180" w:type="dxa"/>
            </w:tcMar>
          </w:tcPr>
          <w:p>
            <w:pPr>
              <w:spacing w:after="80"/>
            </w:pPr>
            <w:r>
              <w:rPr>
                <w:rFonts w:ascii="Gilroy" w:hAnsi="Gilroy" w:eastAsia="Gilroy"/>
                <w:b/>
                <w:i w:val="0"/>
                <w:color w:val="B58A2C"/>
                <w:sz w:val="26"/>
              </w:rPr>
              <w:t>[One clear application action]</w:t>
            </w:r>
          </w:p>
          <w:p>
            <w:pPr>
              <w:spacing w:line="264" w:lineRule="auto" w:after="0"/>
            </w:pPr>
            <w:r>
              <w:rPr>
                <w:rFonts w:ascii="Arial" w:hAnsi="Arial" w:eastAsia="Arial"/>
                <w:b w:val="0"/>
                <w:i/>
                <w:color w:val="FFFFFF"/>
                <w:sz w:val="20"/>
              </w:rPr>
              <w:t>[Tell candidates exactly where and how to apply, which documents to provide, the closing date or review timing, and the recruitment contact where appropriate. Use one destination and one primary call to action.]</w:t>
            </w:r>
          </w:p>
        </w:tc>
      </w:tr>
    </w:tbl>
    <w:p>
      <w:pPr>
        <w:keepNext/>
        <w:widowControl/>
        <w:spacing w:before="240" w:after="60"/>
      </w:pPr>
      <w:r>
        <w:rPr>
          <w:rFonts w:ascii="Gilroy" w:hAnsi="Gilroy" w:eastAsia="Gilroy"/>
          <w:b/>
          <w:i w:val="0"/>
          <w:color w:val="111111"/>
          <w:sz w:val="26"/>
        </w:rPr>
        <w:t>Accessibility and accommodation</w:t>
      </w:r>
    </w:p>
    <w:p>
      <w:pPr>
        <w:widowControl/>
        <w:spacing w:before="0" w:after="140" w:line="264" w:lineRule="auto"/>
      </w:pPr>
      <w:r>
        <w:rPr>
          <w:rFonts w:ascii="Arial" w:hAnsi="Arial" w:eastAsia="Arial"/>
          <w:b w:val="0"/>
          <w:i/>
          <w:color w:val="666666"/>
          <w:sz w:val="20"/>
        </w:rPr>
        <w:t>[Insert the approved accommodation statement and a practical contact route for candidates who need support during the application or interview process.]</w:t>
      </w:r>
    </w:p>
    <w:p>
      <w:pPr>
        <w:keepNext/>
        <w:widowControl/>
        <w:spacing w:before="160" w:after="60"/>
      </w:pPr>
      <w:r>
        <w:rPr>
          <w:rFonts w:ascii="Gilroy" w:hAnsi="Gilroy" w:eastAsia="Gilroy"/>
          <w:b/>
          <w:i w:val="0"/>
          <w:color w:val="111111"/>
          <w:sz w:val="26"/>
        </w:rPr>
        <w:t>Equal opportunity statement</w:t>
      </w:r>
    </w:p>
    <w:p>
      <w:pPr>
        <w:widowControl/>
        <w:spacing w:before="0" w:after="0" w:line="264" w:lineRule="auto"/>
      </w:pPr>
      <w:r>
        <w:rPr>
          <w:rFonts w:ascii="Arial" w:hAnsi="Arial" w:eastAsia="Arial"/>
          <w:b w:val="0"/>
          <w:i/>
          <w:color w:val="666666"/>
          <w:sz w:val="20"/>
        </w:rPr>
        <w:t>[Insert the approved equal opportunity or inclusive hiring statement, where used by the firm.]</w:t>
      </w:r>
    </w:p>
    <w:p>
      <w:pPr>
        <w:widowControl/>
      </w:pPr>
      <w:r>
        <w:br w:type="page"/>
      </w:r>
    </w:p>
    <w:p>
      <w:pPr>
        <w:widowControl/>
        <w:spacing w:after="80"/>
      </w:pPr>
      <w:r>
        <w:rPr>
          <w:rFonts w:ascii="Gilroy" w:hAnsi="Gilroy" w:eastAsia="Gilroy"/>
          <w:b/>
          <w:i w:val="0"/>
          <w:color w:val="B58A2C"/>
          <w:sz w:val="18"/>
        </w:rPr>
        <w:t>INTERNAL USE</w:t>
      </w:r>
    </w:p>
    <w:p>
      <w:pPr>
        <w:keepNext/>
        <w:widowControl/>
        <w:spacing w:before="0" w:after="100"/>
      </w:pPr>
      <w:r>
        <w:rPr>
          <w:rFonts w:ascii="Gilroy" w:hAnsi="Gilroy" w:eastAsia="Gilroy"/>
          <w:b/>
          <w:i w:val="0"/>
          <w:color w:val="111111"/>
          <w:sz w:val="36"/>
        </w:rPr>
        <w:t>Publishing and adaptation notes</w:t>
      </w:r>
    </w:p>
    <w:p>
      <w:pPr>
        <w:widowControl/>
        <w:spacing w:before="0" w:after="200" w:line="252" w:lineRule="auto"/>
      </w:pPr>
      <w:r>
        <w:rPr>
          <w:rFonts w:ascii="Arial" w:hAnsi="Arial" w:eastAsia="Arial"/>
          <w:b/>
          <w:i w:val="0"/>
          <w:color w:val="666666"/>
          <w:sz w:val="20"/>
        </w:rPr>
        <w:t>Remove this page before publishing the external job posting.</w:t>
      </w:r>
    </w:p>
    <w:p>
      <w:pPr>
        <w:keepNext/>
        <w:widowControl/>
        <w:spacing w:before="160" w:after="60"/>
      </w:pPr>
      <w:r>
        <w:rPr>
          <w:rFonts w:ascii="Gilroy" w:hAnsi="Gilroy" w:eastAsia="Gilroy"/>
          <w:b/>
          <w:i w:val="0"/>
          <w:color w:val="111111"/>
          <w:sz w:val="26"/>
        </w:rPr>
        <w:t>Job board and career page</w:t>
      </w:r>
    </w:p>
    <w:p>
      <w:pPr>
        <w:pStyle w:val="ListBullet"/>
        <w:widowControl/>
        <w:spacing w:after="40" w:line="259" w:lineRule="auto"/>
      </w:pPr>
      <w:r>
        <w:rPr>
          <w:rFonts w:ascii="Arial" w:hAnsi="Arial" w:eastAsia="Arial"/>
          <w:b w:val="0"/>
          <w:i w:val="0"/>
          <w:color w:val="111111"/>
          <w:sz w:val="20"/>
        </w:rPr>
        <w:t>Keep the role proposition and compensation information near the top.</w:t>
      </w:r>
    </w:p>
    <w:p>
      <w:pPr>
        <w:pStyle w:val="ListBullet"/>
        <w:widowControl/>
        <w:spacing w:after="40" w:line="259" w:lineRule="auto"/>
      </w:pPr>
      <w:r>
        <w:rPr>
          <w:rFonts w:ascii="Arial" w:hAnsi="Arial" w:eastAsia="Arial"/>
          <w:b w:val="0"/>
          <w:i w:val="0"/>
          <w:color w:val="111111"/>
          <w:sz w:val="20"/>
        </w:rPr>
        <w:t>Preserve the distinction between required qualifications and assets.</w:t>
      </w:r>
    </w:p>
    <w:p>
      <w:pPr>
        <w:pStyle w:val="ListBullet"/>
        <w:widowControl/>
        <w:spacing w:after="40" w:line="259" w:lineRule="auto"/>
      </w:pPr>
      <w:r>
        <w:rPr>
          <w:rFonts w:ascii="Arial" w:hAnsi="Arial" w:eastAsia="Arial"/>
          <w:b w:val="0"/>
          <w:i w:val="0"/>
          <w:color w:val="111111"/>
          <w:sz w:val="20"/>
        </w:rPr>
        <w:t>Confirm headings, bullets and links remain accessible after pasting into the platform.</w:t>
      </w:r>
    </w:p>
    <w:p>
      <w:pPr>
        <w:pStyle w:val="ListBullet"/>
        <w:widowControl/>
        <w:spacing w:after="40" w:line="259" w:lineRule="auto"/>
      </w:pPr>
      <w:r>
        <w:rPr>
          <w:rFonts w:ascii="Arial" w:hAnsi="Arial" w:eastAsia="Arial"/>
          <w:b w:val="0"/>
          <w:i w:val="0"/>
          <w:color w:val="111111"/>
          <w:sz w:val="20"/>
        </w:rPr>
        <w:t>Test the application page on mobile before release.</w:t>
      </w:r>
    </w:p>
    <w:p>
      <w:pPr>
        <w:keepNext/>
        <w:widowControl/>
        <w:spacing w:before="160" w:after="60"/>
      </w:pPr>
      <w:r>
        <w:rPr>
          <w:rFonts w:ascii="Gilroy" w:hAnsi="Gilroy" w:eastAsia="Gilroy"/>
          <w:b/>
          <w:i w:val="0"/>
          <w:color w:val="111111"/>
          <w:sz w:val="26"/>
        </w:rPr>
        <w:t>LinkedIn and social adaptation</w:t>
      </w:r>
    </w:p>
    <w:p>
      <w:pPr>
        <w:pStyle w:val="ListBullet"/>
        <w:widowControl/>
        <w:spacing w:after="40" w:line="259" w:lineRule="auto"/>
      </w:pPr>
      <w:r>
        <w:rPr>
          <w:rFonts w:ascii="Arial" w:hAnsi="Arial" w:eastAsia="Arial"/>
          <w:b w:val="0"/>
          <w:i w:val="0"/>
          <w:color w:val="111111"/>
          <w:sz w:val="20"/>
        </w:rPr>
        <w:t>Use the same recognizable role title, location or work arrangement, compensation information and application action.</w:t>
      </w:r>
    </w:p>
    <w:p>
      <w:pPr>
        <w:pStyle w:val="ListBullet"/>
        <w:widowControl/>
        <w:spacing w:after="40" w:line="259" w:lineRule="auto"/>
      </w:pPr>
      <w:r>
        <w:rPr>
          <w:rFonts w:ascii="Arial" w:hAnsi="Arial" w:eastAsia="Arial"/>
          <w:b w:val="0"/>
          <w:i w:val="0"/>
          <w:color w:val="111111"/>
          <w:sz w:val="20"/>
        </w:rPr>
        <w:t>Lead with one concrete reason the opportunity matters.</w:t>
      </w:r>
    </w:p>
    <w:p>
      <w:pPr>
        <w:pStyle w:val="ListBullet"/>
        <w:widowControl/>
        <w:spacing w:after="40" w:line="259" w:lineRule="auto"/>
      </w:pPr>
      <w:r>
        <w:rPr>
          <w:rFonts w:ascii="Arial" w:hAnsi="Arial" w:eastAsia="Arial"/>
          <w:b w:val="0"/>
          <w:i w:val="0"/>
          <w:color w:val="111111"/>
          <w:sz w:val="20"/>
        </w:rPr>
        <w:t>Do not create a separate version that makes broader promises than the approved posting.</w:t>
      </w:r>
    </w:p>
    <w:p>
      <w:pPr>
        <w:pStyle w:val="ListBullet"/>
        <w:widowControl/>
        <w:spacing w:after="40" w:line="259" w:lineRule="auto"/>
      </w:pPr>
      <w:r>
        <w:rPr>
          <w:rFonts w:ascii="Arial" w:hAnsi="Arial" w:eastAsia="Arial"/>
          <w:b w:val="0"/>
          <w:i w:val="0"/>
          <w:color w:val="111111"/>
          <w:sz w:val="20"/>
        </w:rPr>
        <w:t>Use real Janke LLP people, workplace or community photography only when approved and consented.</w:t>
      </w:r>
    </w:p>
    <w:p>
      <w:pPr>
        <w:keepNext/>
        <w:widowControl/>
        <w:spacing w:before="200" w:after="80"/>
      </w:pPr>
      <w:r>
        <w:rPr>
          <w:rFonts w:ascii="Gilroy" w:hAnsi="Gilroy" w:eastAsia="Gilroy"/>
          <w:b/>
          <w:i w:val="0"/>
          <w:color w:val="111111"/>
          <w:sz w:val="26"/>
        </w:rPr>
        <w:t>Final internal review</w:t>
      </w:r>
    </w:p>
    <w:p>
      <w:pPr>
        <w:widowControl/>
        <w:spacing w:after="40"/>
      </w:pPr>
      <w:r>
        <w:rPr>
          <w:rFonts w:ascii="Arial" w:hAnsi="Arial" w:eastAsia="Arial"/>
          <w:b w:val="0"/>
          <w:i w:val="0"/>
          <w:color w:val="111111"/>
          <w:sz w:val="19"/>
        </w:rPr>
        <w:t>☐  Role title and work arrangement are clear.</w:t>
      </w:r>
    </w:p>
    <w:p>
      <w:pPr>
        <w:widowControl/>
        <w:spacing w:after="40"/>
      </w:pPr>
      <w:r>
        <w:rPr>
          <w:rFonts w:ascii="Arial" w:hAnsi="Arial" w:eastAsia="Arial"/>
          <w:b w:val="0"/>
          <w:i w:val="0"/>
          <w:color w:val="111111"/>
          <w:sz w:val="19"/>
        </w:rPr>
        <w:t>☐  Opening communicates why the opportunity is meaningful.</w:t>
      </w:r>
    </w:p>
    <w:p>
      <w:pPr>
        <w:widowControl/>
        <w:spacing w:after="40"/>
      </w:pPr>
      <w:r>
        <w:rPr>
          <w:rFonts w:ascii="Arial" w:hAnsi="Arial" w:eastAsia="Arial"/>
          <w:b w:val="0"/>
          <w:i w:val="0"/>
          <w:color w:val="111111"/>
          <w:sz w:val="19"/>
        </w:rPr>
        <w:t>☐  All three recruitment pillars are supported by real evidence.</w:t>
      </w:r>
    </w:p>
    <w:p>
      <w:pPr>
        <w:widowControl/>
        <w:spacing w:after="40"/>
      </w:pPr>
      <w:r>
        <w:rPr>
          <w:rFonts w:ascii="Arial" w:hAnsi="Arial" w:eastAsia="Arial"/>
          <w:b w:val="0"/>
          <w:i w:val="0"/>
          <w:color w:val="111111"/>
          <w:sz w:val="19"/>
        </w:rPr>
        <w:t>☐  Responsibilities and qualifications match the approved role scope.</w:t>
      </w:r>
    </w:p>
    <w:p>
      <w:pPr>
        <w:widowControl/>
        <w:spacing w:after="40"/>
      </w:pPr>
      <w:r>
        <w:rPr>
          <w:rFonts w:ascii="Arial" w:hAnsi="Arial" w:eastAsia="Arial"/>
          <w:b w:val="0"/>
          <w:i w:val="0"/>
          <w:color w:val="111111"/>
          <w:sz w:val="19"/>
        </w:rPr>
        <w:t>☐  Compensation and benefits are approved and accurately stated.</w:t>
      </w:r>
    </w:p>
    <w:p>
      <w:pPr>
        <w:widowControl/>
        <w:spacing w:after="40"/>
      </w:pPr>
      <w:r>
        <w:rPr>
          <w:rFonts w:ascii="Arial" w:hAnsi="Arial" w:eastAsia="Arial"/>
          <w:b w:val="0"/>
          <w:i w:val="0"/>
          <w:color w:val="111111"/>
          <w:sz w:val="19"/>
        </w:rPr>
        <w:t>☐  Application instructions, contact information, dates and links have been tested.</w:t>
      </w:r>
    </w:p>
    <w:p>
      <w:pPr>
        <w:widowControl/>
        <w:spacing w:after="40"/>
      </w:pPr>
      <w:r>
        <w:rPr>
          <w:rFonts w:ascii="Arial" w:hAnsi="Arial" w:eastAsia="Arial"/>
          <w:b w:val="0"/>
          <w:i w:val="0"/>
          <w:color w:val="111111"/>
          <w:sz w:val="19"/>
        </w:rPr>
        <w:t>☐  Accommodation language is complete.</w:t>
      </w:r>
    </w:p>
    <w:p>
      <w:pPr>
        <w:widowControl/>
        <w:spacing w:after="40"/>
      </w:pPr>
      <w:r>
        <w:rPr>
          <w:rFonts w:ascii="Arial" w:hAnsi="Arial" w:eastAsia="Arial"/>
          <w:b w:val="0"/>
          <w:i w:val="0"/>
          <w:color w:val="111111"/>
          <w:sz w:val="19"/>
        </w:rPr>
        <w:t>☐  Hiring leader, recruitment/HR and required brand reviewers have approved the final version.</w:t>
      </w:r>
    </w:p>
    <w:p>
      <w:pPr>
        <w:keepNext/>
        <w:widowControl/>
        <w:spacing w:before="200" w:after="100"/>
      </w:pPr>
      <w:r>
        <w:rPr>
          <w:rFonts w:ascii="Gilroy" w:hAnsi="Gilroy" w:eastAsia="Gilroy"/>
          <w:b/>
          <w:i w:val="0"/>
          <w:color w:val="111111"/>
          <w:sz w:val="26"/>
        </w:rPr>
        <w:t>Writing reminders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4968"/>
            <w:tcMar>
              <w:top w:w="40" w:type="dxa"/>
              <w:start w:w="0" w:type="dxa"/>
              <w:bottom w:w="40" w:type="dxa"/>
              <w:end w:w="140" w:type="dxa"/>
            </w:tcMar>
            <w:tcBorders>
              <w:right w:val="single" w:sz="5" w:color="B58A2C"/>
            </w:tcBorders>
          </w:tcPr>
          <w:p>
            <w:r>
              <w:rPr>
                <w:rFonts w:ascii="Gilroy" w:hAnsi="Gilroy" w:eastAsia="Gilroy"/>
                <w:b/>
                <w:i w:val="0"/>
                <w:color w:val="B58A2C"/>
                <w:sz w:val="23"/>
              </w:rPr>
              <w:t>Prefer</w:t>
            </w:r>
          </w:p>
          <w:p>
            <w:pPr>
              <w:pStyle w:val="ListBullet"/>
              <w:spacing w:after="40" w:line="259" w:lineRule="auto"/>
            </w:pPr>
            <w:r>
              <w:rPr>
                <w:rFonts w:ascii="Arial" w:hAnsi="Arial" w:eastAsia="Arial"/>
                <w:b w:val="0"/>
                <w:i w:val="0"/>
                <w:color w:val="111111"/>
                <w:sz w:val="19"/>
              </w:rPr>
              <w:t>Specific responsibilities</w:t>
            </w:r>
          </w:p>
          <w:p>
            <w:pPr>
              <w:pStyle w:val="ListBullet"/>
              <w:spacing w:after="40" w:line="259" w:lineRule="auto"/>
            </w:pPr>
            <w:r>
              <w:rPr>
                <w:rFonts w:ascii="Arial" w:hAnsi="Arial" w:eastAsia="Arial"/>
                <w:b w:val="0"/>
                <w:i w:val="0"/>
                <w:color w:val="111111"/>
                <w:sz w:val="19"/>
              </w:rPr>
              <w:t>Plain language</w:t>
            </w:r>
          </w:p>
          <w:p>
            <w:pPr>
              <w:pStyle w:val="ListBullet"/>
              <w:spacing w:after="40" w:line="259" w:lineRule="auto"/>
            </w:pPr>
            <w:r>
              <w:rPr>
                <w:rFonts w:ascii="Arial" w:hAnsi="Arial" w:eastAsia="Arial"/>
                <w:b w:val="0"/>
                <w:i w:val="0"/>
                <w:color w:val="111111"/>
                <w:sz w:val="19"/>
              </w:rPr>
              <w:t>Real candidate benefits</w:t>
            </w:r>
          </w:p>
          <w:p>
            <w:pPr>
              <w:pStyle w:val="ListBullet"/>
              <w:spacing w:after="40" w:line="259" w:lineRule="auto"/>
            </w:pPr>
            <w:r>
              <w:rPr>
                <w:rFonts w:ascii="Arial" w:hAnsi="Arial" w:eastAsia="Arial"/>
                <w:b w:val="0"/>
                <w:i w:val="0"/>
                <w:color w:val="111111"/>
                <w:sz w:val="19"/>
              </w:rPr>
              <w:t>Accurate expectations</w:t>
            </w:r>
          </w:p>
          <w:p>
            <w:pPr>
              <w:pStyle w:val="ListBullet"/>
              <w:spacing w:after="40" w:line="259" w:lineRule="auto"/>
            </w:pPr>
            <w:r>
              <w:rPr>
                <w:rFonts w:ascii="Arial" w:hAnsi="Arial" w:eastAsia="Arial"/>
                <w:b w:val="0"/>
                <w:i w:val="0"/>
                <w:color w:val="111111"/>
                <w:sz w:val="19"/>
              </w:rPr>
              <w:t>Inclusive requirements</w:t>
            </w:r>
          </w:p>
        </w:tc>
        <w:tc>
          <w:tcPr>
            <w:tcW w:type="dxa" w:w="4968"/>
            <w:tcMar>
              <w:top w:w="40" w:type="dxa"/>
              <w:start w:w="0" w:type="dxa"/>
              <w:bottom w:w="40" w:type="dxa"/>
              <w:end w:w="140" w:type="dxa"/>
            </w:tcMar>
          </w:tcPr>
          <w:p>
            <w:r>
              <w:rPr>
                <w:rFonts w:ascii="Gilroy" w:hAnsi="Gilroy" w:eastAsia="Gilroy"/>
                <w:b/>
                <w:i w:val="0"/>
                <w:color w:val="B58A2C"/>
                <w:sz w:val="23"/>
              </w:rPr>
              <w:t>Avoid</w:t>
            </w:r>
          </w:p>
          <w:p>
            <w:pPr>
              <w:pStyle w:val="ListBullet"/>
              <w:spacing w:after="40" w:line="259" w:lineRule="auto"/>
            </w:pPr>
            <w:r>
              <w:rPr>
                <w:rFonts w:ascii="Arial" w:hAnsi="Arial" w:eastAsia="Arial"/>
                <w:b w:val="0"/>
                <w:i w:val="0"/>
                <w:color w:val="111111"/>
                <w:sz w:val="19"/>
              </w:rPr>
              <w:t>“Fast-paced rockstar” language</w:t>
            </w:r>
          </w:p>
          <w:p>
            <w:pPr>
              <w:pStyle w:val="ListBullet"/>
              <w:spacing w:after="40" w:line="259" w:lineRule="auto"/>
            </w:pPr>
            <w:r>
              <w:rPr>
                <w:rFonts w:ascii="Arial" w:hAnsi="Arial" w:eastAsia="Arial"/>
                <w:b w:val="0"/>
                <w:i w:val="0"/>
                <w:color w:val="111111"/>
                <w:sz w:val="19"/>
              </w:rPr>
              <w:t>Generic culture claims</w:t>
            </w:r>
          </w:p>
          <w:p>
            <w:pPr>
              <w:pStyle w:val="ListBullet"/>
              <w:spacing w:after="40" w:line="259" w:lineRule="auto"/>
            </w:pPr>
            <w:r>
              <w:rPr>
                <w:rFonts w:ascii="Arial" w:hAnsi="Arial" w:eastAsia="Arial"/>
                <w:b w:val="0"/>
                <w:i w:val="0"/>
                <w:color w:val="111111"/>
                <w:sz w:val="19"/>
              </w:rPr>
              <w:t>Unnecessary credentials</w:t>
            </w:r>
          </w:p>
          <w:p>
            <w:pPr>
              <w:pStyle w:val="ListBullet"/>
              <w:spacing w:after="40" w:line="259" w:lineRule="auto"/>
            </w:pPr>
            <w:r>
              <w:rPr>
                <w:rFonts w:ascii="Arial" w:hAnsi="Arial" w:eastAsia="Arial"/>
                <w:b w:val="0"/>
                <w:i w:val="0"/>
                <w:color w:val="111111"/>
                <w:sz w:val="19"/>
              </w:rPr>
              <w:t>Unapproved advancement promises</w:t>
            </w:r>
          </w:p>
          <w:p>
            <w:pPr>
              <w:pStyle w:val="ListBullet"/>
              <w:spacing w:after="40" w:line="259" w:lineRule="auto"/>
            </w:pPr>
            <w:r>
              <w:rPr>
                <w:rFonts w:ascii="Arial" w:hAnsi="Arial" w:eastAsia="Arial"/>
                <w:b w:val="0"/>
                <w:i w:val="0"/>
                <w:color w:val="111111"/>
                <w:sz w:val="19"/>
              </w:rPr>
              <w:t>Multiple calls to action</w:t>
            </w:r>
          </w:p>
        </w:tc>
      </w:tr>
    </w:tbl>
    <w:sectPr w:rsidR="00FC693F" w:rsidRPr="0006063C" w:rsidSect="00034616">
      <w:headerReference w:type="first" r:id="rId9"/>
      <w:headerReference w:type="default" r:id="rId10"/>
      <w:footerReference w:type="default" r:id="rId11"/>
      <w:footerReference w:type="first" r:id="rId12"/>
      <w:pgSz w:w="12240" w:h="15840"/>
      <w:pgMar w:top="893" w:right="1037" w:bottom="893" w:left="1037" w:header="259"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2" w:color="D9D6D0"/>
      </w:pBdr>
    </w:pPr>
    <w:r>
      <w:rPr>
        <w:rFonts w:ascii="Arial" w:hAnsi="Arial" w:eastAsia="Arial"/>
        <w:b w:val="0"/>
        <w:i w:val="0"/>
        <w:color w:val="666666"/>
        <w:sz w:val="16"/>
      </w:rPr>
      <w:t>Janke LLP | Recruitment Posting Template</w:t>
    </w:r>
  </w:p>
  <w:p>
    <w:pPr>
      <w:jc w:val="center"/>
    </w:pPr>
    <w:r>
      <w:rPr>
        <w:rFonts w:ascii="Arial" w:hAnsi="Arial"/>
        <w:color w:val="666666"/>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D6D2CB"/>
        <w:sz w:val="16"/>
      </w:rPr>
      <w:t>Janke LLP | Recruitment Posting Template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ict>
        <v:rect id="CoverBackground" style="position:absolute;margin-left:0;margin-top:0;width:612pt;height:792pt;z-index:-251654144;mso-position-horizontal:absolute;mso-position-horizontal-relative:page;mso-position-vertical:absolute;mso-position-vertical-relative:page" fillcolor="#111111" stroked="f"/>
      </w:pict>
    </w:r>
  </w:p>
  <w:p>
    <w:pPr>
      <w:spacing w:before="160" w:after="0"/>
      <w:jc w:val="right"/>
    </w:pPr>
    <w:r>
      <w:drawing>
        <wp:inline xmlns:a="http://schemas.openxmlformats.org/drawingml/2006/main" xmlns:pic="http://schemas.openxmlformats.org/drawingml/2006/picture">
          <wp:extent cx="1828800" cy="467032"/>
          <wp:docPr id="1" name="Picture 1"/>
          <wp:cNvGraphicFramePr>
            <a:graphicFrameLocks noChangeAspect="1"/>
          </wp:cNvGraphicFramePr>
          <a:graphic>
            <a:graphicData uri="http://schemas.openxmlformats.org/drawingml/2006/picture">
              <pic:pic>
                <pic:nvPicPr>
                  <pic:cNvPr id="0" name="janke_logo_white_transparent.png"/>
                  <pic:cNvPicPr/>
                </pic:nvPicPr>
                <pic:blipFill>
                  <a:blip r:embed="rId1"/>
                  <a:stretch>
                    <a:fillRect/>
                  </a:stretch>
                </pic:blipFill>
                <pic:spPr>
                  <a:xfrm>
                    <a:off x="0" y="0"/>
                    <a:ext cx="1828800" cy="467032"/>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645920" cy="420329"/>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1645920" cy="420329"/>
                  </a:xfrm>
                  <a:prstGeom prst="rect"/>
                </pic:spPr>
              </pic:pic>
            </a:graphicData>
          </a:graphic>
        </wp:inline>
      </w:drawing>
    </w:r>
  </w:p>
  <w:p>
    <w:pPr>
      <w:spacing w:after="0"/>
      <w:pBdr>
        <w:bottom w:val="single" w:sz="8" w:space="2" w:color="B58A2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Janke LLP Recruitment Posting Template</dc:title>
  <dc:subject>Approved editable recruitment posting template</dc:subject>
  <dc:creator>Janke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