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color w:val="111111"/>
          <w:sz w:val="36"/>
        </w:rPr>
        <w:t>JANKE LLP</w:t>
      </w:r>
      <w:r>
        <w:rPr>
          <w:rFonts w:ascii="Arial" w:hAnsi="Arial"/>
          <w:color w:val="6E7477"/>
          <w:sz w:val="16"/>
        </w:rPr>
        <w:br/>
        <w:t>PROFESSIONAL ACCOUNTANTS</w:t>
      </w:r>
    </w:p>
    <w:p>
      <w:pPr>
        <w:pStyle w:val="Title"/>
      </w:pPr>
      <w:r>
        <w:t>Social Media Post Standard</w:t>
      </w:r>
    </w:p>
    <w:p>
      <w:r>
        <w:rPr>
          <w:rFonts w:ascii="Arial" w:hAnsi="Arial"/>
          <w:i/>
          <w:color w:val="6E7477"/>
          <w:sz w:val="20"/>
        </w:rPr>
        <w:t>Version 2 | Brand and communication standard | Prairie Gold alignment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7F5F0" w:val="clear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rial" w:hAnsi="Arial"/>
                <w:b/>
                <w:color w:val="111111"/>
              </w:rPr>
              <w:t xml:space="preserve">Purpose. </w:t>
            </w:r>
            <w:r>
              <w:rPr>
                <w:rFonts w:ascii="Arial" w:hAnsi="Arial"/>
                <w:color w:val="111111"/>
              </w:rPr>
              <w:t>Create useful, credible and recognizable social content that reflects Janke LLP as an advisory-led CPA firm: professional, practical, community-minded and focused on helping clients grow better.</w:t>
            </w:r>
          </w:p>
        </w:tc>
      </w:tr>
    </w:tbl>
    <w:p>
      <w:pPr>
        <w:pStyle w:val="Heading1"/>
        <w:keepNext/>
      </w:pPr>
      <w:r>
        <w:t>1. When this standard applies</w:t>
      </w:r>
    </w:p>
    <w:p>
      <w:pPr>
        <w:pStyle w:val="ListBullet"/>
      </w:pPr>
      <w:r>
        <w:t>All firm-owned social channels, including LinkedIn, Facebook and other approved platforms.</w:t>
      </w:r>
    </w:p>
    <w:p>
      <w:pPr>
        <w:pStyle w:val="ListBullet"/>
      </w:pPr>
      <w:r>
        <w:t>Organic posts, recruitment posts, client education, community updates, event promotion, firm news and approved paid campaigns.</w:t>
      </w:r>
    </w:p>
    <w:p>
      <w:pPr>
        <w:pStyle w:val="ListBullet"/>
      </w:pPr>
      <w:r>
        <w:t>Posts written by the firm or by team members when the post represents Janke LLP.</w:t>
      </w:r>
    </w:p>
    <w:p>
      <w:pPr>
        <w:pStyle w:val="Heading1"/>
        <w:keepNext/>
      </w:pPr>
      <w:r>
        <w:t>2. Core content principles</w:t>
      </w:r>
    </w:p>
    <w:p>
      <w:pPr>
        <w:pStyle w:val="ListBullet"/>
      </w:pPr>
      <w:r>
        <w:t>Lead with relevance to the reader, not with the firm.</w:t>
      </w:r>
    </w:p>
    <w:p>
      <w:pPr>
        <w:pStyle w:val="ListBullet"/>
      </w:pPr>
      <w:r>
        <w:t>Provide one clear idea per post.</w:t>
      </w:r>
    </w:p>
    <w:p>
      <w:pPr>
        <w:pStyle w:val="ListBullet"/>
      </w:pPr>
      <w:r>
        <w:t>Use plainspoken language and explain technical terms when they are necessary.</w:t>
      </w:r>
    </w:p>
    <w:p>
      <w:pPr>
        <w:pStyle w:val="ListBullet"/>
      </w:pPr>
      <w:r>
        <w:t>Be useful before being promotional.</w:t>
      </w:r>
    </w:p>
    <w:p>
      <w:pPr>
        <w:pStyle w:val="ListBullet"/>
      </w:pPr>
      <w:r>
        <w:t>Present Janke LLP as a firm first, while making individual experts visible where appropriate.</w:t>
      </w:r>
    </w:p>
    <w:p>
      <w:pPr>
        <w:pStyle w:val="ListBullet"/>
      </w:pPr>
      <w:r>
        <w:t>Use Saskatchewan context as supporting proof, not as the entire message.</w:t>
      </w:r>
    </w:p>
    <w:p>
      <w:pPr>
        <w:pStyle w:val="ListBullet"/>
      </w:pPr>
      <w:r>
        <w:t>Never overstate outcomes, guarantees, urgency or certainty.</w:t>
      </w:r>
    </w:p>
    <w:p>
      <w:pPr>
        <w:pStyle w:val="Heading1"/>
        <w:keepNext/>
      </w:pPr>
      <w:r>
        <w:t>3. Approved content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11111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</w:rPr>
              <w:t>Category</w:t>
            </w:r>
          </w:p>
        </w:tc>
        <w:tc>
          <w:tcPr>
            <w:tcW w:type="dxa" w:w="3312"/>
            <w:shd w:fill="111111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</w:rPr>
              <w:t>Primary purpose</w:t>
            </w:r>
          </w:p>
        </w:tc>
        <w:tc>
          <w:tcPr>
            <w:tcW w:type="dxa" w:w="3312"/>
            <w:shd w:fill="111111" w:val="clear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</w:rPr>
              <w:t>Typical examples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 w:val="clear"/>
          </w:tcPr>
          <w:p>
            <w:r>
              <w:rPr>
                <w:rFonts w:ascii="Arial" w:hAnsi="Arial"/>
                <w:color w:val="111111"/>
              </w:rPr>
              <w:t>Client education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 w:val="clear"/>
          </w:tcPr>
          <w:p>
            <w:r>
              <w:rPr>
                <w:rFonts w:ascii="Arial" w:hAnsi="Arial"/>
                <w:color w:val="111111"/>
              </w:rPr>
              <w:t>Help readers understand an issue or opportunity.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 w:val="clear"/>
          </w:tcPr>
          <w:p>
            <w:r>
              <w:rPr>
                <w:rFonts w:ascii="Arial" w:hAnsi="Arial"/>
                <w:color w:val="111111"/>
              </w:rPr>
              <w:t>Tax changes, planning questions, deadlines, business decisions.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 w:val="clear"/>
          </w:tcPr>
          <w:p>
            <w:r>
              <w:rPr>
                <w:rFonts w:ascii="Arial" w:hAnsi="Arial"/>
                <w:color w:val="111111"/>
              </w:rPr>
              <w:t>Advisory perspective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 w:val="clear"/>
          </w:tcPr>
          <w:p>
            <w:r>
              <w:rPr>
                <w:rFonts w:ascii="Arial" w:hAnsi="Arial"/>
                <w:color w:val="111111"/>
              </w:rPr>
              <w:t>Show how Janke LLP thinks about growth and better decisions.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 w:val="clear"/>
          </w:tcPr>
          <w:p>
            <w:r>
              <w:rPr>
                <w:rFonts w:ascii="Arial" w:hAnsi="Arial"/>
                <w:color w:val="111111"/>
              </w:rPr>
              <w:t>Succession, cash flow, structure, risk, family wealth.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 w:val="clear"/>
          </w:tcPr>
          <w:p>
            <w:r>
              <w:rPr>
                <w:rFonts w:ascii="Arial" w:hAnsi="Arial"/>
                <w:color w:val="111111"/>
              </w:rPr>
              <w:t>People and culture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 w:val="clear"/>
          </w:tcPr>
          <w:p>
            <w:r>
              <w:rPr>
                <w:rFonts w:ascii="Arial" w:hAnsi="Arial"/>
                <w:color w:val="111111"/>
              </w:rPr>
              <w:t>Make expertise and workplace culture visible.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 w:val="clear"/>
          </w:tcPr>
          <w:p>
            <w:r>
              <w:rPr>
                <w:rFonts w:ascii="Arial" w:hAnsi="Arial"/>
                <w:color w:val="111111"/>
              </w:rPr>
              <w:t>Team profiles, milestones, learning, recruitment.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 w:val="clear"/>
          </w:tcPr>
          <w:p>
            <w:r>
              <w:rPr>
                <w:rFonts w:ascii="Arial" w:hAnsi="Arial"/>
                <w:color w:val="111111"/>
              </w:rPr>
              <w:t>Community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 w:val="clear"/>
          </w:tcPr>
          <w:p>
            <w:r>
              <w:rPr>
                <w:rFonts w:ascii="Arial" w:hAnsi="Arial"/>
                <w:color w:val="111111"/>
              </w:rPr>
              <w:t>Demonstrate meaningful local involvement.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 w:val="clear"/>
          </w:tcPr>
          <w:p>
            <w:r>
              <w:rPr>
                <w:rFonts w:ascii="Arial" w:hAnsi="Arial"/>
                <w:color w:val="111111"/>
              </w:rPr>
              <w:t>Sponsorships, volunteer work, regional events.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 w:val="clear"/>
          </w:tcPr>
          <w:p>
            <w:r>
              <w:rPr>
                <w:rFonts w:ascii="Arial" w:hAnsi="Arial"/>
                <w:color w:val="111111"/>
              </w:rPr>
              <w:t>Firm news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 w:val="clear"/>
          </w:tcPr>
          <w:p>
            <w:r>
              <w:rPr>
                <w:rFonts w:ascii="Arial" w:hAnsi="Arial"/>
                <w:color w:val="111111"/>
              </w:rPr>
              <w:t>Share material updates without corporate filler.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 w:val="clear"/>
          </w:tcPr>
          <w:p>
            <w:r>
              <w:rPr>
                <w:rFonts w:ascii="Arial" w:hAnsi="Arial"/>
                <w:color w:val="111111"/>
              </w:rPr>
              <w:t>New services, leadership, awards, office information.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 w:val="clear"/>
          </w:tcPr>
          <w:p>
            <w:r>
              <w:rPr>
                <w:rFonts w:ascii="Arial" w:hAnsi="Arial"/>
                <w:color w:val="111111"/>
              </w:rPr>
              <w:t>Client stories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 w:val="clear"/>
          </w:tcPr>
          <w:p>
            <w:r>
              <w:rPr>
                <w:rFonts w:ascii="Arial" w:hAnsi="Arial"/>
                <w:color w:val="111111"/>
              </w:rPr>
              <w:t>Show impact with explicit permission.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 w:val="clear"/>
          </w:tcPr>
          <w:p>
            <w:r>
              <w:rPr>
                <w:rFonts w:ascii="Arial" w:hAnsi="Arial"/>
                <w:color w:val="111111"/>
              </w:rPr>
              <w:t>Testimonials, case studies, anonymized outcomes.</w:t>
            </w:r>
          </w:p>
        </w:tc>
      </w:tr>
    </w:tbl>
    <w:p>
      <w:pPr>
        <w:pStyle w:val="Heading1"/>
        <w:keepNext/>
      </w:pPr>
      <w:r>
        <w:t>4. Standard post structure</w:t>
      </w:r>
    </w:p>
    <w:p>
      <w:pPr>
        <w:pStyle w:val="ListBullet"/>
      </w:pPr>
      <w:r>
        <w:t>Hook: a useful observation, question, tension or timely fact.</w:t>
      </w:r>
    </w:p>
    <w:p>
      <w:pPr>
        <w:pStyle w:val="ListBullet"/>
      </w:pPr>
      <w:r>
        <w:t>Value: two to five short paragraphs or concise bullets that explain the point.</w:t>
      </w:r>
    </w:p>
    <w:p>
      <w:pPr>
        <w:pStyle w:val="ListBullet"/>
      </w:pPr>
      <w:r>
        <w:t>Janke LLP perspective: practical guidance, a relevant implication or a question worth considering.</w:t>
      </w:r>
    </w:p>
    <w:p>
      <w:pPr>
        <w:pStyle w:val="ListBullet"/>
      </w:pPr>
      <w:r>
        <w:t>Action: one clear next step, when appropriate.</w:t>
      </w:r>
    </w:p>
    <w:p>
      <w:pPr>
        <w:pStyle w:val="ListBullet"/>
      </w:pPr>
      <w:r>
        <w:t>Attribution and disclosure: expert name, source, permission statement or disclaimer where required.</w:t>
      </w:r>
    </w:p>
    <w:p>
      <w:pPr>
        <w:pStyle w:val="Heading1"/>
        <w:keepNext/>
      </w:pPr>
      <w:r>
        <w:t>5. Voice and writing</w:t>
      </w:r>
    </w:p>
    <w:p>
      <w:pPr>
        <w:pStyle w:val="ListBullet"/>
      </w:pPr>
      <w:r>
        <w:t>Professional and confident, but never stiff.</w:t>
      </w:r>
    </w:p>
    <w:p>
      <w:pPr>
        <w:pStyle w:val="ListBullet"/>
      </w:pPr>
      <w:r>
        <w:t>Warm and conversational for social channels; more restrained for legal, tax or regulatory matters.</w:t>
      </w:r>
    </w:p>
    <w:p>
      <w:pPr>
        <w:pStyle w:val="ListBullet"/>
      </w:pPr>
      <w:r>
        <w:t>Use active voice, concrete verbs and short paragraphs.</w:t>
      </w:r>
    </w:p>
    <w:p>
      <w:pPr>
        <w:pStyle w:val="ListBullet"/>
      </w:pPr>
      <w:r>
        <w:t>Avoid jargon, buzzwords, vague inspiration, excessive exclamation marks and unsupported superlatives.</w:t>
      </w:r>
    </w:p>
    <w:p>
      <w:pPr>
        <w:pStyle w:val="ListBullet"/>
      </w:pPr>
      <w:r>
        <w:t>Do not begin every post with “At Janke LLP.” The reader should encounter the idea before the firm description.</w:t>
      </w:r>
    </w:p>
    <w:p>
      <w:pPr>
        <w:pStyle w:val="ListBullet"/>
      </w:pPr>
      <w:r>
        <w:t>Use “we” carefully. Identify the responsible expert when a post conveys a professional viewpoint.</w:t>
      </w:r>
    </w:p>
    <w:p>
      <w:pPr>
        <w:pStyle w:val="Heading1"/>
        <w:keepNext/>
      </w:pPr>
      <w:r>
        <w:t>6. Calls to action</w:t>
      </w:r>
    </w:p>
    <w:p>
      <w:pPr>
        <w:pStyle w:val="ListBullet"/>
      </w:pPr>
      <w:r>
        <w:t>Calls to action should emphasize learning, improvement, opportunity or a useful conversation.</w:t>
      </w:r>
    </w:p>
    <w:p>
      <w:pPr>
        <w:pStyle w:val="ListBullet"/>
      </w:pPr>
      <w:r>
        <w:t>Preferred examples: “Learn what this could mean for your business,” “Consider these questions before your next decision,” and “Start the conversation.”</w:t>
      </w:r>
    </w:p>
    <w:p>
      <w:pPr>
        <w:pStyle w:val="ListBullet"/>
      </w:pPr>
      <w:r>
        <w:t>Use the brand prompt “What does better look like?” selectively, not mechanically.</w:t>
      </w:r>
    </w:p>
    <w:p>
      <w:pPr>
        <w:pStyle w:val="ListBullet"/>
      </w:pPr>
      <w:r>
        <w:t>Use “Grounded advice. Grow better.” selectively and never as part of the logo.</w:t>
      </w:r>
    </w:p>
    <w:p>
      <w:pPr>
        <w:pStyle w:val="Heading1"/>
        <w:keepNext/>
      </w:pPr>
      <w:r>
        <w:t>7. Visual standard</w:t>
      </w:r>
    </w:p>
    <w:p>
      <w:pPr>
        <w:pStyle w:val="ListBullet"/>
      </w:pPr>
      <w:r>
        <w:t>Use approved monochrome Janke LLP logo files, the final black-and-white brand system and the approved Social Media Post Template only. Never recolour the logo Prairie Gold or attach “Grounded advice. Grow better.” to the logo.</w:t>
      </w:r>
    </w:p>
    <w:p>
      <w:pPr>
        <w:pStyle w:val="ListBullet"/>
      </w:pPr>
      <w:r>
        <w:t>Black and white should dominate approximately 90–95% of the composition. Use core Prairie Gold (#B58A2C) selectively—generally no more than 5–10%—for rules, markers, headings or key emphasis. Bright Prairie Gold (#D4A842) is reserved for display emphasis on black. Warm white and stone may be used sparingly as support neutrals; do not reintroduce teal, sage, navy or other legacy brand colours.</w:t>
      </w:r>
    </w:p>
    <w:p>
      <w:pPr>
        <w:pStyle w:val="ListBullet"/>
      </w:pPr>
      <w:r>
        <w:t>Prefer real Janke LLP people, clients with documented project-specific permission, and recognizable Saskatchewan settings. Images should feel polished but genuine; avoid generic stock imagery and staged business clichés.</w:t>
      </w:r>
    </w:p>
    <w:p>
      <w:pPr>
        <w:pStyle w:val="ListBullet"/>
      </w:pPr>
      <w:r>
        <w:t>Use Gilroy for designed headings where available and Arial for operational/body copy. Keep text on graphics minimal; the caption carries the explanation. Use Prairie Gold as an accent, not as a substitute for readable hierarchy.</w:t>
      </w:r>
    </w:p>
    <w:p>
      <w:pPr>
        <w:pStyle w:val="ListBullet"/>
      </w:pPr>
      <w:r>
        <w:t>Graphics may use white or near-black backgrounds. On black, use white body copy and Prairie Gold only for selective display emphasis. Maintain strong contrast, readable type and safe margins for mobile crops and platform resizing.</w:t>
      </w:r>
    </w:p>
    <w:p>
      <w:pPr>
        <w:pStyle w:val="ListBullet"/>
      </w:pPr>
      <w:r>
        <w:t>Add alt text or an equivalent image description wherever the platform supports it, and ensure meaningful information is not conveyed by colour alone.</w:t>
      </w:r>
    </w:p>
    <w:p>
      <w:pPr>
        <w:pStyle w:val="Heading1"/>
        <w:keepNext/>
      </w:pPr>
      <w:r>
        <w:t>8. Platform adaptation</w:t>
      </w:r>
    </w:p>
    <w:p>
      <w:pPr>
        <w:pStyle w:val="ListBullet"/>
      </w:pPr>
      <w:r>
        <w:t>LinkedIn: professional insight, recruitment, firm expertise and longer educational captions.</w:t>
      </w:r>
    </w:p>
    <w:p>
      <w:pPr>
        <w:pStyle w:val="ListBullet"/>
      </w:pPr>
      <w:r>
        <w:t>Facebook: community, firm updates, events, accessible client education and people-focused stories.</w:t>
      </w:r>
    </w:p>
    <w:p>
      <w:pPr>
        <w:pStyle w:val="ListBullet"/>
      </w:pPr>
      <w:r>
        <w:t>Other channels: use only when the audience, governance and content plan are approved.</w:t>
      </w:r>
    </w:p>
    <w:p>
      <w:pPr>
        <w:pStyle w:val="ListBullet"/>
      </w:pPr>
      <w:r>
        <w:t>Do not copy and paste blindly. Adapt length, opening, tags and visual crop to the platform.</w:t>
      </w:r>
    </w:p>
    <w:p>
      <w:pPr>
        <w:pStyle w:val="Heading1"/>
        <w:keepNext/>
      </w:pPr>
      <w:r>
        <w:t>9. Hashtags, tags and links</w:t>
      </w:r>
    </w:p>
    <w:p>
      <w:pPr>
        <w:pStyle w:val="ListBullet"/>
      </w:pPr>
      <w:r>
        <w:t>Use a small number of relevant hashtags; quality matters more than volume.</w:t>
      </w:r>
    </w:p>
    <w:p>
      <w:pPr>
        <w:pStyle w:val="ListBullet"/>
      </w:pPr>
      <w:r>
        <w:t>Tag people and organizations only when relevant and appropriate.</w:t>
      </w:r>
    </w:p>
    <w:p>
      <w:pPr>
        <w:pStyle w:val="ListBullet"/>
      </w:pPr>
      <w:r>
        <w:t>Confirm names, handles, links and landing pages before publication.</w:t>
      </w:r>
    </w:p>
    <w:p>
      <w:pPr>
        <w:pStyle w:val="ListBullet"/>
      </w:pPr>
      <w:r>
        <w:t>Do not use hashtags that imply expertise, certification or outcomes the firm cannot substantiate.</w:t>
      </w:r>
    </w:p>
    <w:p>
      <w:pPr>
        <w:pStyle w:val="Heading1"/>
        <w:keepNext/>
      </w:pPr>
      <w:r>
        <w:t>10. Professional, legal and privacy safeguards</w:t>
      </w:r>
    </w:p>
    <w:p>
      <w:pPr>
        <w:pStyle w:val="ListBullet"/>
      </w:pPr>
      <w:r>
        <w:t>No confidential or identifying client information without documented project-specific consent.</w:t>
      </w:r>
    </w:p>
    <w:p>
      <w:pPr>
        <w:pStyle w:val="ListBullet"/>
      </w:pPr>
      <w:r>
        <w:t>Testimonials may be lightly edited for clarity only, with the client’s final approval.</w:t>
      </w:r>
    </w:p>
    <w:p>
      <w:pPr>
        <w:pStyle w:val="ListBullet"/>
      </w:pPr>
      <w:r>
        <w:t>Tax, accounting and legal content must be current, accurate and reviewed by an appropriate professional.</w:t>
      </w:r>
    </w:p>
    <w:p>
      <w:pPr>
        <w:pStyle w:val="ListBullet"/>
      </w:pPr>
      <w:r>
        <w:t>Add a concise disclaimer when general information could reasonably be mistaken for advice.</w:t>
      </w:r>
    </w:p>
    <w:p>
      <w:pPr>
        <w:pStyle w:val="ListBullet"/>
      </w:pPr>
      <w:r>
        <w:t>Do not comment on active client matters, disputes, personnel issues or confidential firm matters.</w:t>
      </w:r>
    </w:p>
    <w:p>
      <w:pPr>
        <w:pStyle w:val="ListBullet"/>
      </w:pPr>
      <w:r>
        <w:t>AI-assisted content must be fact-checked, edited in the Janke LLP voice and approved under the same rules as human-drafted content.</w:t>
      </w:r>
    </w:p>
    <w:p>
      <w:pPr>
        <w:pStyle w:val="Heading1"/>
        <w:keepNext/>
      </w:pPr>
      <w:r>
        <w:t>11. Review and approval</w:t>
      </w:r>
    </w:p>
    <w:p>
      <w:pPr>
        <w:pStyle w:val="ListBullet"/>
      </w:pPr>
      <w:r>
        <w:t>Routine posts using the approved Social Media Post Template and established sample-post visual system: marketing lead approval.</w:t>
      </w:r>
    </w:p>
    <w:p>
      <w:pPr>
        <w:pStyle w:val="ListBullet"/>
      </w:pPr>
      <w:r>
        <w:t>Technical or professional content: subject-matter reviewer plus marketing lead.</w:t>
      </w:r>
    </w:p>
    <w:p>
      <w:pPr>
        <w:pStyle w:val="ListBullet"/>
      </w:pPr>
      <w:r>
        <w:t>Client stories, sensitive matters, major campaigns or new brand expressions: designated leadership approval.</w:t>
      </w:r>
    </w:p>
    <w:p>
      <w:pPr>
        <w:pStyle w:val="ListBullet"/>
      </w:pPr>
      <w:r>
        <w:t>Recruitment posts must also follow the approved Recruitment Posting Standard.</w:t>
      </w:r>
    </w:p>
    <w:p>
      <w:pPr>
        <w:pStyle w:val="Heading1"/>
        <w:keepNext/>
      </w:pPr>
      <w:r>
        <w:t>12. Release checklist</w:t>
      </w:r>
    </w:p>
    <w:p>
      <w:r>
        <w:rPr>
          <w:b/>
        </w:rPr>
        <w:t xml:space="preserve">☐ </w:t>
      </w:r>
      <w:r>
        <w:t>One clear audience and one clear idea.</w:t>
      </w:r>
    </w:p>
    <w:p>
      <w:r>
        <w:rPr>
          <w:b/>
        </w:rPr>
        <w:t xml:space="preserve">☐ </w:t>
      </w:r>
      <w:r>
        <w:t>Opening is useful rather than self-congratulatory.</w:t>
      </w:r>
    </w:p>
    <w:p>
      <w:r>
        <w:rPr>
          <w:b/>
        </w:rPr>
        <w:t xml:space="preserve">☐ </w:t>
      </w:r>
      <w:r>
        <w:t>Facts, dates, names and technical points are verified.</w:t>
      </w:r>
    </w:p>
    <w:p>
      <w:r>
        <w:rPr>
          <w:b/>
        </w:rPr>
        <w:t xml:space="preserve">☐ </w:t>
      </w:r>
      <w:r>
        <w:t>Client permission and attribution are documented where applicable.</w:t>
      </w:r>
    </w:p>
    <w:p>
      <w:r>
        <w:rPr>
          <w:b/>
        </w:rPr>
        <w:t>☐ Image, crop, monochrome logo, typography and black/white/Prairie Gold treatment follow approved standards.</w:t>
      </w:r>
      <w:r/>
    </w:p>
    <w:p>
      <w:r>
        <w:rPr>
          <w:b/>
        </w:rPr>
        <w:t xml:space="preserve">☐ </w:t>
      </w:r>
      <w:r>
        <w:t>Caption is readable on mobile and contains no unnecessary jargon.</w:t>
      </w:r>
    </w:p>
    <w:p>
      <w:r>
        <w:rPr>
          <w:b/>
        </w:rPr>
        <w:t xml:space="preserve">☐ </w:t>
      </w:r>
      <w:r>
        <w:t>Alt text or image description is included where supported.</w:t>
      </w:r>
    </w:p>
    <w:p>
      <w:r>
        <w:rPr>
          <w:b/>
        </w:rPr>
        <w:t xml:space="preserve">☐ </w:t>
      </w:r>
      <w:r>
        <w:t>Call to action is proportionate and helpful.</w:t>
      </w:r>
    </w:p>
    <w:p>
      <w:r>
        <w:rPr>
          <w:b/>
        </w:rPr>
        <w:t xml:space="preserve">☐ </w:t>
      </w:r>
      <w:r>
        <w:t>Required reviewers have approved the final version.</w:t>
      </w:r>
    </w:p>
    <w:p>
      <w:r>
        <w:rPr>
          <w:b/>
        </w:rPr>
        <w:t xml:space="preserve">☐ </w:t>
      </w:r>
      <w:r>
        <w:t>Links, tags and scheduled publication time have been checked.</w:t>
      </w:r>
    </w:p>
    <w:p>
      <w:pPr>
        <w:pStyle w:val="Heading1"/>
        <w:keepNext/>
      </w:pPr>
      <w:r>
        <w:t>13. Related template and sample posts</w:t>
      </w:r>
    </w:p>
    <w:p>
      <w:pPr>
        <w:spacing w:line="264" w:lineRule="auto" w:after="120"/>
        <w:jc w:val="both"/>
      </w:pPr>
      <w:r>
        <w:t>Use this standard with the approved Social Media Post Template v2 — Prairie Gold and the approved Sample Social Media Posts v2 — Prairie Gold. These assets establish the current black, white and restrained Prairie Gold visual system for routine social content.</w:t>
      </w:r>
    </w:p>
    <w:p>
      <w:pPr>
        <w:spacing w:line="264" w:lineRule="auto" w:after="120"/>
        <w:jc w:val="both"/>
      </w:pPr>
      <w:r>
        <w:t>New campaign concepts may vary in composition, photography and message, but any new colour treatment, logo expression or major visual departure requires designated leadership approval before publication.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7477"/>
        <w:sz w:val="16"/>
      </w:rPr>
      <w:t>Janke LLP | Social Media Post Standard | Version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ilroy" w:hAnsi="Gilroy"/>
      <w:b/>
      <w:bCs/>
      <w:color w:val="B58A2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ilroy" w:hAnsi="Gilroy"/>
      <w:b/>
      <w:bCs/>
      <w:color w:val="11111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B58A2C"/>
      </w:pBdr>
      <w:spacing w:after="300" w:line="240" w:lineRule="auto"/>
      <w:contextualSpacing/>
    </w:pPr>
    <w:rPr>
      <w:rFonts w:asciiTheme="majorHAnsi" w:eastAsiaTheme="majorEastAsia" w:hAnsiTheme="majorHAnsi" w:cstheme="majorBidi" w:ascii="Gilroy" w:hAnsi="Gilroy"/>
      <w:b/>
      <w:color w:val="11111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