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11111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84"/>
        <w:gridCol w:w="3240"/>
      </w:tblGrid>
      <w:tr>
        <w:tc>
          <w:tcPr>
            <w:tcW w:type="dxa" w:w="6983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16"/>
                <w:spacing w:val="90"/>
              </w:rPr>
              <w:t>BEFORE WE MEET</w:t>
            </w:r>
          </w:p>
        </w:tc>
        <w:tc>
          <w:tcPr>
            <w:tcW w:type="dxa" w:w="324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965960" cy="5020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anke_logo_header_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502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00" w:after="0" w:line="228" w:lineRule="auto"/>
        <w:ind w:left="230"/>
        <w:pBdr>
          <w:left w:val="single" w:sz="20" w:space="8" w:color="B58A2C"/>
        </w:pBdr>
      </w:pPr>
      <w:r>
        <w:rPr>
          <w:rFonts w:ascii="Gilroy" w:hAnsi="Gilroy" w:eastAsia="Gilroy"/>
          <w:b/>
          <w:i w:val="0"/>
          <w:color w:val="FFFFFF"/>
          <w:sz w:val="58"/>
        </w:rPr>
        <w:t>Working with</w:t>
      </w:r>
    </w:p>
    <w:p>
      <w:pPr>
        <w:keepNext/>
        <w:spacing w:before="0" w:after="160" w:line="228" w:lineRule="auto"/>
        <w:ind w:left="230"/>
        <w:pBdr>
          <w:left w:val="single" w:sz="20" w:space="8" w:color="B58A2C"/>
        </w:pBdr>
      </w:pPr>
      <w:r>
        <w:rPr>
          <w:rFonts w:ascii="Gilroy" w:hAnsi="Gilroy" w:eastAsia="Gilroy"/>
          <w:b/>
          <w:i w:val="0"/>
          <w:color w:val="B58A2C"/>
          <w:sz w:val="58"/>
        </w:rPr>
        <w:t>Janke LLP</w:t>
      </w:r>
    </w:p>
    <w:p>
      <w:pPr>
        <w:keepNext w:val="0"/>
        <w:spacing w:before="0" w:after="0" w:line="283" w:lineRule="auto"/>
        <w:ind w:left="230"/>
        <w:pBdr>
          <w:left w:val="single" w:sz="20" w:space="8" w:color="B58A2C"/>
        </w:pBdr>
      </w:pPr>
      <w:r>
        <w:rPr>
          <w:rFonts w:ascii="Arial" w:hAnsi="Arial" w:eastAsia="Arial"/>
          <w:b w:val="0"/>
          <w:i w:val="0"/>
          <w:color w:val="FFFFFF"/>
          <w:sz w:val="24"/>
        </w:rPr>
        <w:t xml:space="preserve">Your first meeting is a practical conversation about where you are today, what matters most, and </w:t>
      </w:r>
      <w:r>
        <w:rPr>
          <w:rFonts w:ascii="Arial" w:hAnsi="Arial" w:eastAsia="Arial"/>
          <w:b/>
          <w:i w:val="0"/>
          <w:color w:val="B58A2C"/>
          <w:sz w:val="24"/>
        </w:rPr>
        <w:t>what better could look like.</w:t>
      </w:r>
    </w:p>
    <w:p>
      <w:pPr>
        <w:keepNext w:val="0"/>
        <w:spacing w:before="100" w:after="160" w:line="240" w:lineRule="auto"/>
        <w:pBdr>
          <w:bottom w:val="single" w:sz="8" w:space="2" w:color="B58A2C"/>
        </w:pBdr>
      </w:pPr>
    </w:p>
    <w:p>
      <w:pPr>
        <w:keepNext/>
        <w:spacing w:before="0" w:after="60" w:line="240" w:lineRule="auto"/>
      </w:pPr>
      <w:r>
        <w:rPr>
          <w:rFonts w:ascii="Gilroy" w:hAnsi="Gilroy" w:eastAsia="Gilroy"/>
          <w:b/>
          <w:i w:val="0"/>
          <w:color w:val="B58A2C"/>
          <w:sz w:val="17"/>
          <w:spacing w:val="80"/>
        </w:rPr>
        <w:t>WHAT TO EXPECT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5184"/>
            <w:vAlign w:val="top"/>
            <w:tcMar>
              <w:top w:w="70" w:type="dxa"/>
              <w:start w:w="60" w:type="dxa"/>
              <w:bottom w:w="85" w:type="dxa"/>
              <w:end w:w="12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30"/>
                <w:spacing w:val="40"/>
              </w:rPr>
              <w:t>01</w:t>
            </w:r>
          </w:p>
          <w:p>
            <w:pPr>
              <w:keepNext/>
              <w:spacing w:before="0" w:after="60" w:line="240" w:lineRule="auto"/>
            </w:pPr>
            <w:r>
              <w:rPr>
                <w:rFonts w:ascii="Gilroy" w:hAnsi="Gilroy" w:eastAsia="Gilroy"/>
                <w:b/>
                <w:i w:val="0"/>
                <w:color w:val="FFFFFF"/>
                <w:sz w:val="23"/>
              </w:rPr>
              <w:t>Start with what matters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F2F2F2"/>
                <w:sz w:val="17"/>
              </w:rPr>
              <w:t>We will ask about your business, family, finances, priorities, and the decisions in front of you.</w:t>
            </w:r>
          </w:p>
        </w:tc>
        <w:tc>
          <w:tcPr>
            <w:tcW w:type="dxa" w:w="5184"/>
            <w:vAlign w:val="top"/>
            <w:tcMar>
              <w:top w:w="70" w:type="dxa"/>
              <w:start w:w="60" w:type="dxa"/>
              <w:bottom w:w="85" w:type="dxa"/>
              <w:end w:w="12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30"/>
                <w:spacing w:val="40"/>
              </w:rPr>
              <w:t>02</w:t>
            </w:r>
          </w:p>
          <w:p>
            <w:pPr>
              <w:keepNext/>
              <w:spacing w:before="0" w:after="60" w:line="240" w:lineRule="auto"/>
            </w:pPr>
            <w:r>
              <w:rPr>
                <w:rFonts w:ascii="Gilroy" w:hAnsi="Gilroy" w:eastAsia="Gilroy"/>
                <w:b/>
                <w:i w:val="0"/>
                <w:color w:val="FFFFFF"/>
                <w:sz w:val="23"/>
              </w:rPr>
              <w:t>Build a clear picture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F2F2F2"/>
                <w:sz w:val="17"/>
              </w:rPr>
              <w:t>Together, we will identify the facts, timing, risks, and opportunities shaping the right advice.</w:t>
            </w:r>
          </w:p>
        </w:tc>
      </w:tr>
      <w:tr>
        <w:tc>
          <w:tcPr>
            <w:tcW w:type="dxa" w:w="5184"/>
            <w:vAlign w:val="top"/>
            <w:tcMar>
              <w:top w:w="70" w:type="dxa"/>
              <w:start w:w="60" w:type="dxa"/>
              <w:bottom w:w="85" w:type="dxa"/>
              <w:end w:w="12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30"/>
                <w:spacing w:val="40"/>
              </w:rPr>
              <w:t>03</w:t>
            </w:r>
          </w:p>
          <w:p>
            <w:pPr>
              <w:keepNext/>
              <w:spacing w:before="0" w:after="60" w:line="240" w:lineRule="auto"/>
            </w:pPr>
            <w:r>
              <w:rPr>
                <w:rFonts w:ascii="Gilroy" w:hAnsi="Gilroy" w:eastAsia="Gilroy"/>
                <w:b/>
                <w:i w:val="0"/>
                <w:color w:val="FFFFFF"/>
                <w:sz w:val="23"/>
              </w:rPr>
              <w:t>Discuss how we can help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F2F2F2"/>
                <w:sz w:val="17"/>
              </w:rPr>
              <w:t>Where there is a fit, we will outline the work, information needed, expected timing, and fee approach.</w:t>
            </w:r>
          </w:p>
        </w:tc>
        <w:tc>
          <w:tcPr>
            <w:tcW w:type="dxa" w:w="5184"/>
            <w:vAlign w:val="top"/>
            <w:tcMar>
              <w:top w:w="70" w:type="dxa"/>
              <w:start w:w="60" w:type="dxa"/>
              <w:bottom w:w="85" w:type="dxa"/>
              <w:end w:w="120" w:type="dxa"/>
            </w:tcMar>
          </w:tcPr>
          <w:p>
            <w:pPr>
              <w:keepNext w:val="0"/>
              <w:spacing w:before="0" w:after="4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30"/>
                <w:spacing w:val="40"/>
              </w:rPr>
              <w:t>04</w:t>
            </w:r>
          </w:p>
          <w:p>
            <w:pPr>
              <w:keepNext/>
              <w:spacing w:before="0" w:after="60" w:line="240" w:lineRule="auto"/>
            </w:pPr>
            <w:r>
              <w:rPr>
                <w:rFonts w:ascii="Gilroy" w:hAnsi="Gilroy" w:eastAsia="Gilroy"/>
                <w:b/>
                <w:i w:val="0"/>
                <w:color w:val="FFFFFF"/>
                <w:sz w:val="23"/>
              </w:rPr>
              <w:t>Leave with a next step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F2F2F2"/>
                <w:sz w:val="17"/>
              </w:rPr>
              <w:t>You will know what happens next: a proposal, information request, another conversation, or a helpful referral.</w:t>
            </w:r>
          </w:p>
        </w:tc>
      </w:tr>
    </w:tbl>
    <w:p>
      <w:pPr>
        <w:keepNext w:val="0"/>
        <w:spacing w:before="40" w:after="120" w:line="240" w:lineRule="auto"/>
        <w:pBdr>
          <w:bottom w:val="single" w:sz="5" w:space="1" w:color="B58A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23"/>
        <w:gridCol w:w="3523"/>
        <w:gridCol w:w="3523"/>
      </w:tblGrid>
      <w:tr>
        <w:tc>
          <w:tcPr>
            <w:tcW w:type="dxa" w:w="3528"/>
            <w:vAlign w:val="top"/>
            <w:tcMar>
              <w:top w:w="40" w:type="dxa"/>
              <w:start w:w="40" w:type="dxa"/>
              <w:bottom w:w="50" w:type="dxa"/>
              <w:end w:w="130" w:type="dxa"/>
            </w:tcMar>
          </w:tcPr>
          <w:p>
            <w:pPr>
              <w:keepNext/>
              <w:spacing w:before="0" w:after="8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17"/>
                <w:spacing w:val="70"/>
              </w:rPr>
              <w:t>WHO WE WORK WITH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F2F2F2"/>
                <w:sz w:val="18"/>
              </w:rPr>
              <w:t>Owner-managed and family businesses, farms and agribusinesses, legal, financial and medical professionals, and families planning for tax, succession, or long-term wealth.</w:t>
            </w:r>
          </w:p>
        </w:tc>
        <w:tc>
          <w:tcPr>
            <w:tcW w:type="dxa" w:w="3528"/>
            <w:vAlign w:val="top"/>
            <w:tcMar>
              <w:top w:w="40" w:type="dxa"/>
              <w:start w:w="40" w:type="dxa"/>
              <w:bottom w:w="50" w:type="dxa"/>
              <w:end w:w="130" w:type="dxa"/>
            </w:tcMar>
          </w:tcPr>
          <w:p>
            <w:pPr>
              <w:keepNext/>
              <w:spacing w:before="0" w:after="8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17"/>
                <w:spacing w:val="70"/>
              </w:rPr>
              <w:t>WHAT TO BRING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F2F2F2"/>
                <w:sz w:val="18"/>
              </w:rPr>
              <w:t>Bring what is readily available: recent financial statements or tax returns, ownership or structure details, and the questions or decisions you most want to address. A perfect package is not required.</w:t>
            </w:r>
          </w:p>
        </w:tc>
        <w:tc>
          <w:tcPr>
            <w:tcW w:type="dxa" w:w="3528"/>
            <w:vAlign w:val="top"/>
            <w:tcMar>
              <w:top w:w="40" w:type="dxa"/>
              <w:start w:w="40" w:type="dxa"/>
              <w:bottom w:w="50" w:type="dxa"/>
              <w:end w:w="130" w:type="dxa"/>
            </w:tcMar>
          </w:tcPr>
          <w:p>
            <w:pPr>
              <w:keepNext/>
              <w:spacing w:before="0" w:after="8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B58A2C"/>
                <w:sz w:val="17"/>
                <w:spacing w:val="70"/>
              </w:rPr>
              <w:t>HOW WE WORK</w:t>
            </w:r>
          </w:p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Advisory-led. Plainspoken. Practical.</w:t>
            </w:r>
            <w:r>
              <w:rPr>
                <w:rFonts w:ascii="Arial" w:hAnsi="Arial" w:eastAsia="Arial"/>
                <w:b w:val="0"/>
                <w:i w:val="0"/>
                <w:color w:val="F2F2F2"/>
                <w:sz w:val="18"/>
              </w:rPr>
              <w:t xml:space="preserve"> We explain options clearly, set transparent expectations, and match fees to the scope, complexity, and value of the work.</w:t>
            </w:r>
          </w:p>
        </w:tc>
      </w:tr>
    </w:tbl>
    <w:p>
      <w:pPr>
        <w:keepNext/>
        <w:spacing w:before="140" w:after="20" w:line="240" w:lineRule="auto"/>
      </w:pPr>
      <w:r>
        <w:rPr>
          <w:rFonts w:ascii="Gilroy" w:hAnsi="Gilroy" w:eastAsia="Gilroy"/>
          <w:b/>
          <w:i w:val="0"/>
          <w:color w:val="B58A2C"/>
          <w:sz w:val="36"/>
          <w:spacing w:val="20"/>
        </w:rPr>
        <w:t>WHAT DOES BETTER LOOK LIKE?</w:t>
      </w:r>
    </w:p>
    <w:p>
      <w:pPr>
        <w:keepNext w:val="0"/>
        <w:spacing w:before="0" w:after="60" w:line="264" w:lineRule="auto"/>
      </w:pPr>
      <w:r>
        <w:rPr>
          <w:rFonts w:ascii="Arial" w:hAnsi="Arial" w:eastAsia="Arial"/>
          <w:b w:val="0"/>
          <w:i w:val="0"/>
          <w:color w:val="FFFFFF"/>
          <w:sz w:val="20"/>
        </w:rPr>
        <w:t>A clearer view of your options. Confidence in the next decision. A practical path from advice to implementation.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6912"/>
            <w:tcMar>
              <w:top w:w="2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Gilroy" w:hAnsi="Gilroy" w:eastAsia="Gilroy"/>
                <w:b/>
                <w:i w:val="0"/>
                <w:color w:val="FFFFFF"/>
                <w:sz w:val="18"/>
              </w:rPr>
              <w:t>Grounded advice. Grow better.</w:t>
            </w:r>
          </w:p>
        </w:tc>
        <w:tc>
          <w:tcPr>
            <w:tcW w:type="dxa" w:w="3528"/>
            <w:tcMar>
              <w:top w:w="2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B58A2C"/>
                <w:sz w:val="18"/>
              </w:rPr>
              <w:t>janke.ca  |  306.873.4575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691" w:right="835" w:bottom="634" w:left="835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52" w:lineRule="auto"/>
      <w:pBdr>
        <w:bottom w:val="single" w:sz="5" w:space="4" w:color="B58A2C"/>
      </w:pBdr>
    </w:pPr>
    <w:r>
      <w:rPr>
        <w:rFonts w:ascii="Gilroy" w:hAnsi="Gilroy" w:eastAsia="Gilroy"/>
        <w:b/>
        <w:i w:val="0"/>
        <w:color w:val="B58A2C"/>
        <w:sz w:val="13"/>
        <w:spacing w:val="35"/>
      </w:rPr>
      <w:t xml:space="preserve">IMPORTANT CONTEXT  </w:t>
    </w:r>
    <w:r>
      <w:rPr>
        <w:rFonts w:ascii="Arial" w:hAnsi="Arial" w:eastAsia="Arial"/>
        <w:b w:val="0"/>
        <w:i w:val="0"/>
        <w:color w:val="FFFFFF"/>
        <w:sz w:val="13"/>
      </w:rPr>
      <w:t>This overview is general information. Specific advice, scope, timing, and fees are confirmed only after we understand your circumstances and agree on an engagement.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FFFFF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Janke LLP</dc:title>
  <dc:subject>Prospective client meeting overview</dc:subject>
  <dc:creator>Janke LLP</dc:creator>
  <cp:keywords>Janke LLP, prospective client, first meeting, advisory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