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Advisory Report Standard</w:t>
      </w:r>
    </w:p>
    <w:p>
      <w:r>
        <w:rPr>
          <w:rFonts w:ascii="Gilroy" w:hAnsi="Gilroy"/>
          <w:b/>
          <w:color w:val="B58A2C"/>
          <w:sz w:val="24"/>
        </w:rPr>
        <w:t>Clear analysis. Practical choices. Confident next steps.</w:t>
      </w:r>
    </w:p>
    <w:p>
      <w:r>
        <w:t>This standard governs substantial client-facing advisory reports prepared by Janke LLP, including planning reports, option analyses, transaction recommendations, succession and wealth-planning reports, and other engagements where clients need both technical rigour and practical direction.</w:t>
      </w:r>
    </w:p>
    <w:tbl>
      <w:tblPr>
        <w:tblW w:type="auto" w:w="0"/>
        <w:jc w:val="center"/>
        <w:tblLayout w:type="fixed"/>
        <w:tblLook w:firstColumn="1" w:firstRow="1" w:lastColumn="0" w:lastRow="0" w:noHBand="0" w:noVBand="1" w:val="04A0"/>
      </w:tblPr>
      <w:tblGrid>
        <w:gridCol w:w="9792"/>
      </w:tblGrid>
      <w:tr>
        <w:tc>
          <w:tcPr>
            <w:tcW w:type="dxa" w:w="9994"/>
            <w:shd w:fill="F7F5F0"/>
            <w:tcMar>
              <w:top w:w="180" w:type="dxa"/>
              <w:start w:w="200" w:type="dxa"/>
              <w:bottom w:w="180" w:type="dxa"/>
              <w:end w:w="200" w:type="dxa"/>
            </w:tcMar>
          </w:tcPr>
          <w:p>
            <w:r>
              <w:rPr>
                <w:rFonts w:ascii="Gilroy" w:hAnsi="Gilroy" w:eastAsia="Arial"/>
                <w:b/>
                <w:color w:val="B58A2C"/>
                <w:sz w:val="19"/>
              </w:rPr>
              <w:t>Purpose</w:t>
            </w:r>
          </w:p>
          <w:p>
            <w:r>
              <w:rPr>
                <w:rFonts w:ascii="Arial" w:hAnsi="Arial" w:eastAsia="Arial"/>
                <w:sz w:val="19"/>
              </w:rPr>
              <w:t>An advisory report should help a client understand the issue, see the available paths, evaluate trade-offs and decide what to do next. It is not a technical memo with a decorative cover, and it is not a sales document. It must connect sound professional analysis to the client’s actual goals and circumstances.</w:t>
            </w:r>
          </w:p>
        </w:tc>
      </w:tr>
    </w:tbl>
    <w:p>
      <w:pPr>
        <w:pStyle w:val="Heading1"/>
      </w:pPr>
      <w:r>
        <w:t>1. When to use an advisory report</w:t>
      </w:r>
    </w:p>
    <w:p>
      <w:r>
        <w:t>Use an advisory report when the engagement involves multiple facts, choices, scenarios, stakeholders or implementation steps and the client needs a durable decision document.</w:t>
      </w:r>
    </w:p>
    <w:p>
      <w:r>
        <w:t>A letter or memo is usually more appropriate where the matter is narrow, primarily instructional, highly technical or intended for a limited professional audience. A proposal is used before the engagement; an advisory report records the work and recommendations arising from it.</w:t>
      </w:r>
    </w:p>
    <w:p>
      <w:pPr>
        <w:pStyle w:val="Heading1"/>
      </w:pPr>
      <w:r>
        <w:t>2. Required qualities</w:t>
      </w:r>
    </w:p>
    <w:p>
      <w:r>
        <w:t>Every advisory report must be client-specific, decision-oriented, technically supportable, visually navigable and clear about assumptions, limitations, responsibilities and next steps.</w:t>
      </w:r>
    </w:p>
    <w:p>
      <w:r>
        <w:t>The report should demonstrate Janke LLP’s advisory-led positioning through the quality of the thinking, not through promotional language.</w:t>
      </w:r>
    </w:p>
    <w:p>
      <w:pPr>
        <w:pStyle w:val="ListBullet"/>
        <w:spacing w:after="60"/>
      </w:pPr>
      <w:r>
        <w:t>Start with the client’s goals and decision, not with technical rules.</w:t>
      </w:r>
    </w:p>
    <w:p>
      <w:pPr>
        <w:pStyle w:val="ListBullet"/>
        <w:spacing w:after="60"/>
      </w:pPr>
      <w:r>
        <w:t>Distinguish facts, assumptions, analysis, recommendations and unresolved matters.</w:t>
      </w:r>
    </w:p>
    <w:p>
      <w:pPr>
        <w:pStyle w:val="ListBullet"/>
        <w:spacing w:after="60"/>
      </w:pPr>
      <w:r>
        <w:t>Explain material trade-offs and risks without burying the preferred direction.</w:t>
      </w:r>
    </w:p>
    <w:p>
      <w:pPr>
        <w:pStyle w:val="ListBullet"/>
        <w:spacing w:after="60"/>
      </w:pPr>
      <w:r>
        <w:t>Make the required actions, owners and timing easy to find.</w:t>
      </w:r>
    </w:p>
    <w:p>
      <w:pPr>
        <w:pStyle w:val="ListBullet"/>
        <w:spacing w:after="60"/>
      </w:pPr>
      <w:r>
        <w:t>Use plain language first and technical detail where it improves confidence or implementation.</w:t>
      </w:r>
    </w:p>
    <w:p>
      <w:pPr>
        <w:pStyle w:val="Heading1"/>
      </w:pPr>
      <w:r>
        <w:t>3. Standard report structure</w:t>
      </w:r>
    </w:p>
    <w:p>
      <w:r>
        <w:t>Use the following sequence unless the engagement requires a different order. The opening pages should allow a decision-maker to understand the report without first reading the technical detail.</w:t>
      </w:r>
    </w:p>
    <w:tbl>
      <w:tblPr>
        <w:tblW w:type="auto" w:w="0"/>
        <w:jc w:val="center"/>
        <w:tblLayout w:type="fixed"/>
        <w:tblLook w:firstColumn="1" w:firstRow="1" w:lastColumn="0" w:lastRow="0" w:noHBand="0" w:noVBand="1" w:val="04A0"/>
      </w:tblPr>
      <w:tblGrid>
        <w:gridCol w:w="720"/>
        <w:gridCol w:w="3024"/>
        <w:gridCol w:w="5904"/>
      </w:tblGrid>
      <w:tr>
        <w:tc>
          <w:tcPr>
            <w:tcW w:type="dxa" w:w="3331"/>
            <w:shd w:fill="111111"/>
            <w:tcMar>
              <w:top w:w="120" w:type="dxa"/>
              <w:start w:w="140" w:type="dxa"/>
              <w:bottom w:w="120" w:type="dxa"/>
              <w:end w:w="140" w:type="dxa"/>
            </w:tcMar>
            <w:vAlign w:val="center"/>
          </w:tcPr>
          <w:p>
            <w:pPr>
              <w:jc w:val="center"/>
            </w:pPr>
            <w:r>
              <w:rPr>
                <w:rFonts w:ascii="Arial" w:hAnsi="Arial" w:eastAsia="Arial"/>
                <w:b/>
                <w:color w:val="FFFFFF"/>
                <w:sz w:val="19"/>
              </w:rPr>
              <w:t>#</w:t>
            </w:r>
          </w:p>
        </w:tc>
        <w:tc>
          <w:tcPr>
            <w:tcW w:type="dxa" w:w="3331"/>
            <w:shd w:fill="111111"/>
            <w:tcMar>
              <w:top w:w="120" w:type="dxa"/>
              <w:start w:w="140" w:type="dxa"/>
              <w:bottom w:w="120" w:type="dxa"/>
              <w:end w:w="140" w:type="dxa"/>
            </w:tcMar>
            <w:vAlign w:val="center"/>
          </w:tcPr>
          <w:p>
            <w:pPr>
              <w:jc w:val="left"/>
            </w:pPr>
            <w:r>
              <w:rPr>
                <w:rFonts w:ascii="Arial" w:hAnsi="Arial" w:eastAsia="Arial"/>
                <w:b/>
                <w:color w:val="FFFFFF"/>
                <w:sz w:val="19"/>
              </w:rPr>
              <w:t>Section</w:t>
            </w:r>
          </w:p>
        </w:tc>
        <w:tc>
          <w:tcPr>
            <w:tcW w:type="dxa" w:w="3331"/>
            <w:shd w:fill="111111"/>
            <w:tcMar>
              <w:top w:w="120" w:type="dxa"/>
              <w:start w:w="140" w:type="dxa"/>
              <w:bottom w:w="120" w:type="dxa"/>
              <w:end w:w="140" w:type="dxa"/>
            </w:tcMar>
            <w:vAlign w:val="center"/>
          </w:tcPr>
          <w:p>
            <w:pPr>
              <w:jc w:val="left"/>
            </w:pPr>
            <w:r>
              <w:rPr>
                <w:rFonts w:ascii="Arial" w:hAnsi="Arial" w:eastAsia="Arial"/>
                <w:b/>
                <w:color w:val="FFFFFF"/>
                <w:sz w:val="19"/>
              </w:rPr>
              <w:t>Purpose</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1</w:t>
            </w:r>
          </w:p>
        </w:tc>
        <w:tc>
          <w:tcPr>
            <w:tcW w:type="dxa" w:w="3024"/>
            <w:tcMar>
              <w:top w:w="120" w:type="dxa"/>
              <w:start w:w="140" w:type="dxa"/>
              <w:bottom w:w="120" w:type="dxa"/>
              <w:end w:w="140" w:type="dxa"/>
            </w:tcMar>
            <w:vAlign w:val="center"/>
          </w:tcPr>
          <w:p>
            <w:pPr>
              <w:jc w:val="left"/>
            </w:pPr>
            <w:r>
              <w:rPr>
                <w:rFonts w:ascii="Arial" w:hAnsi="Arial" w:eastAsia="Arial"/>
                <w:b/>
                <w:sz w:val="19"/>
              </w:rPr>
              <w:t>Cover</w:t>
            </w:r>
          </w:p>
        </w:tc>
        <w:tc>
          <w:tcPr>
            <w:tcW w:type="dxa" w:w="5904"/>
            <w:tcMar>
              <w:top w:w="120" w:type="dxa"/>
              <w:start w:w="140" w:type="dxa"/>
              <w:bottom w:w="120" w:type="dxa"/>
              <w:end w:w="140" w:type="dxa"/>
            </w:tcMar>
            <w:vAlign w:val="center"/>
          </w:tcPr>
          <w:p>
            <w:pPr>
              <w:jc w:val="left"/>
            </w:pPr>
            <w:r>
              <w:rPr>
                <w:rFonts w:ascii="Arial" w:hAnsi="Arial" w:eastAsia="Arial"/>
                <w:b w:val="0"/>
                <w:sz w:val="19"/>
              </w:rPr>
              <w:t>Client name, report title, date, confidentiality designation and Janke LLP identity.</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2</w:t>
            </w:r>
          </w:p>
        </w:tc>
        <w:tc>
          <w:tcPr>
            <w:tcW w:type="dxa" w:w="3024"/>
            <w:tcMar>
              <w:top w:w="120" w:type="dxa"/>
              <w:start w:w="140" w:type="dxa"/>
              <w:bottom w:w="120" w:type="dxa"/>
              <w:end w:w="140" w:type="dxa"/>
            </w:tcMar>
            <w:vAlign w:val="center"/>
          </w:tcPr>
          <w:p>
            <w:pPr>
              <w:jc w:val="left"/>
            </w:pPr>
            <w:r>
              <w:rPr>
                <w:rFonts w:ascii="Arial" w:hAnsi="Arial" w:eastAsia="Arial"/>
                <w:b/>
                <w:sz w:val="19"/>
              </w:rPr>
              <w:t>At-a-glance summary</w:t>
            </w:r>
          </w:p>
        </w:tc>
        <w:tc>
          <w:tcPr>
            <w:tcW w:type="dxa" w:w="5904"/>
            <w:tcMar>
              <w:top w:w="120" w:type="dxa"/>
              <w:start w:w="140" w:type="dxa"/>
              <w:bottom w:w="120" w:type="dxa"/>
              <w:end w:w="140" w:type="dxa"/>
            </w:tcMar>
            <w:vAlign w:val="center"/>
          </w:tcPr>
          <w:p>
            <w:pPr>
              <w:jc w:val="left"/>
            </w:pPr>
            <w:r>
              <w:rPr>
                <w:rFonts w:ascii="Arial" w:hAnsi="Arial" w:eastAsia="Arial"/>
                <w:b w:val="0"/>
                <w:sz w:val="19"/>
              </w:rPr>
              <w:t>The decision, preferred direction, key reasons, material cautions and immediate next steps.</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3</w:t>
            </w:r>
          </w:p>
        </w:tc>
        <w:tc>
          <w:tcPr>
            <w:tcW w:type="dxa" w:w="3024"/>
            <w:tcMar>
              <w:top w:w="120" w:type="dxa"/>
              <w:start w:w="140" w:type="dxa"/>
              <w:bottom w:w="120" w:type="dxa"/>
              <w:end w:w="140" w:type="dxa"/>
            </w:tcMar>
            <w:vAlign w:val="center"/>
          </w:tcPr>
          <w:p>
            <w:pPr>
              <w:jc w:val="left"/>
            </w:pPr>
            <w:r>
              <w:rPr>
                <w:rFonts w:ascii="Arial" w:hAnsi="Arial" w:eastAsia="Arial"/>
                <w:b/>
                <w:sz w:val="19"/>
              </w:rPr>
              <w:t>Objectives and scope</w:t>
            </w:r>
          </w:p>
        </w:tc>
        <w:tc>
          <w:tcPr>
            <w:tcW w:type="dxa" w:w="5904"/>
            <w:tcMar>
              <w:top w:w="120" w:type="dxa"/>
              <w:start w:w="140" w:type="dxa"/>
              <w:bottom w:w="120" w:type="dxa"/>
              <w:end w:w="140" w:type="dxa"/>
            </w:tcMar>
            <w:vAlign w:val="center"/>
          </w:tcPr>
          <w:p>
            <w:pPr>
              <w:jc w:val="left"/>
            </w:pPr>
            <w:r>
              <w:rPr>
                <w:rFonts w:ascii="Arial" w:hAnsi="Arial" w:eastAsia="Arial"/>
                <w:b w:val="0"/>
                <w:sz w:val="19"/>
              </w:rPr>
              <w:t>What the client is trying to achieve, what the report addresses and what is outside scope.</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4</w:t>
            </w:r>
          </w:p>
        </w:tc>
        <w:tc>
          <w:tcPr>
            <w:tcW w:type="dxa" w:w="3024"/>
            <w:tcMar>
              <w:top w:w="120" w:type="dxa"/>
              <w:start w:w="140" w:type="dxa"/>
              <w:bottom w:w="120" w:type="dxa"/>
              <w:end w:w="140" w:type="dxa"/>
            </w:tcMar>
            <w:vAlign w:val="center"/>
          </w:tcPr>
          <w:p>
            <w:pPr>
              <w:jc w:val="left"/>
            </w:pPr>
            <w:r>
              <w:rPr>
                <w:rFonts w:ascii="Arial" w:hAnsi="Arial" w:eastAsia="Arial"/>
                <w:b/>
                <w:sz w:val="19"/>
              </w:rPr>
              <w:t>Background facts and assumptions</w:t>
            </w:r>
          </w:p>
        </w:tc>
        <w:tc>
          <w:tcPr>
            <w:tcW w:type="dxa" w:w="5904"/>
            <w:tcMar>
              <w:top w:w="120" w:type="dxa"/>
              <w:start w:w="140" w:type="dxa"/>
              <w:bottom w:w="120" w:type="dxa"/>
              <w:end w:w="140" w:type="dxa"/>
            </w:tcMar>
            <w:vAlign w:val="center"/>
          </w:tcPr>
          <w:p>
            <w:pPr>
              <w:jc w:val="left"/>
            </w:pPr>
            <w:r>
              <w:rPr>
                <w:rFonts w:ascii="Arial" w:hAnsi="Arial" w:eastAsia="Arial"/>
                <w:b w:val="0"/>
                <w:sz w:val="19"/>
              </w:rPr>
              <w:t>The client-specific facts, source information and assumptions relied upon.</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5</w:t>
            </w:r>
          </w:p>
        </w:tc>
        <w:tc>
          <w:tcPr>
            <w:tcW w:type="dxa" w:w="3024"/>
            <w:tcMar>
              <w:top w:w="120" w:type="dxa"/>
              <w:start w:w="140" w:type="dxa"/>
              <w:bottom w:w="120" w:type="dxa"/>
              <w:end w:w="140" w:type="dxa"/>
            </w:tcMar>
            <w:vAlign w:val="center"/>
          </w:tcPr>
          <w:p>
            <w:pPr>
              <w:jc w:val="left"/>
            </w:pPr>
            <w:r>
              <w:rPr>
                <w:rFonts w:ascii="Arial" w:hAnsi="Arial" w:eastAsia="Arial"/>
                <w:b/>
                <w:sz w:val="19"/>
              </w:rPr>
              <w:t>Options or scenarios</w:t>
            </w:r>
          </w:p>
        </w:tc>
        <w:tc>
          <w:tcPr>
            <w:tcW w:type="dxa" w:w="5904"/>
            <w:tcMar>
              <w:top w:w="120" w:type="dxa"/>
              <w:start w:w="140" w:type="dxa"/>
              <w:bottom w:w="120" w:type="dxa"/>
              <w:end w:w="140" w:type="dxa"/>
            </w:tcMar>
            <w:vAlign w:val="center"/>
          </w:tcPr>
          <w:p>
            <w:pPr>
              <w:jc w:val="left"/>
            </w:pPr>
            <w:r>
              <w:rPr>
                <w:rFonts w:ascii="Arial" w:hAnsi="Arial" w:eastAsia="Arial"/>
                <w:b w:val="0"/>
                <w:sz w:val="19"/>
              </w:rPr>
              <w:t>The realistic paths considered, presented consistently and without false equivalence.</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6</w:t>
            </w:r>
          </w:p>
        </w:tc>
        <w:tc>
          <w:tcPr>
            <w:tcW w:type="dxa" w:w="3024"/>
            <w:tcMar>
              <w:top w:w="120" w:type="dxa"/>
              <w:start w:w="140" w:type="dxa"/>
              <w:bottom w:w="120" w:type="dxa"/>
              <w:end w:w="140" w:type="dxa"/>
            </w:tcMar>
            <w:vAlign w:val="center"/>
          </w:tcPr>
          <w:p>
            <w:pPr>
              <w:jc w:val="left"/>
            </w:pPr>
            <w:r>
              <w:rPr>
                <w:rFonts w:ascii="Arial" w:hAnsi="Arial" w:eastAsia="Arial"/>
                <w:b/>
                <w:sz w:val="19"/>
              </w:rPr>
              <w:t>Analysis and trade-offs</w:t>
            </w:r>
          </w:p>
        </w:tc>
        <w:tc>
          <w:tcPr>
            <w:tcW w:type="dxa" w:w="5904"/>
            <w:tcMar>
              <w:top w:w="120" w:type="dxa"/>
              <w:start w:w="140" w:type="dxa"/>
              <w:bottom w:w="120" w:type="dxa"/>
              <w:end w:w="140" w:type="dxa"/>
            </w:tcMar>
            <w:vAlign w:val="center"/>
          </w:tcPr>
          <w:p>
            <w:pPr>
              <w:jc w:val="left"/>
            </w:pPr>
            <w:r>
              <w:rPr>
                <w:rFonts w:ascii="Arial" w:hAnsi="Arial" w:eastAsia="Arial"/>
                <w:b w:val="0"/>
                <w:sz w:val="19"/>
              </w:rPr>
              <w:t>Financial, tax, operational, family, timing, risk and implementation considerations, as relevant.</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7</w:t>
            </w:r>
          </w:p>
        </w:tc>
        <w:tc>
          <w:tcPr>
            <w:tcW w:type="dxa" w:w="3024"/>
            <w:tcMar>
              <w:top w:w="120" w:type="dxa"/>
              <w:start w:w="140" w:type="dxa"/>
              <w:bottom w:w="120" w:type="dxa"/>
              <w:end w:w="140" w:type="dxa"/>
            </w:tcMar>
            <w:vAlign w:val="center"/>
          </w:tcPr>
          <w:p>
            <w:pPr>
              <w:jc w:val="left"/>
            </w:pPr>
            <w:r>
              <w:rPr>
                <w:rFonts w:ascii="Arial" w:hAnsi="Arial" w:eastAsia="Arial"/>
                <w:b/>
                <w:sz w:val="19"/>
              </w:rPr>
              <w:t>Recommendation</w:t>
            </w:r>
          </w:p>
        </w:tc>
        <w:tc>
          <w:tcPr>
            <w:tcW w:type="dxa" w:w="5904"/>
            <w:tcMar>
              <w:top w:w="120" w:type="dxa"/>
              <w:start w:w="140" w:type="dxa"/>
              <w:bottom w:w="120" w:type="dxa"/>
              <w:end w:w="140" w:type="dxa"/>
            </w:tcMar>
            <w:vAlign w:val="center"/>
          </w:tcPr>
          <w:p>
            <w:pPr>
              <w:jc w:val="left"/>
            </w:pPr>
            <w:r>
              <w:rPr>
                <w:rFonts w:ascii="Arial" w:hAnsi="Arial" w:eastAsia="Arial"/>
                <w:b w:val="0"/>
                <w:sz w:val="19"/>
              </w:rPr>
              <w:t>The preferred direction, why it best fits the objectives and the conditions attached to it.</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8</w:t>
            </w:r>
          </w:p>
        </w:tc>
        <w:tc>
          <w:tcPr>
            <w:tcW w:type="dxa" w:w="3024"/>
            <w:tcMar>
              <w:top w:w="120" w:type="dxa"/>
              <w:start w:w="140" w:type="dxa"/>
              <w:bottom w:w="120" w:type="dxa"/>
              <w:end w:w="140" w:type="dxa"/>
            </w:tcMar>
            <w:vAlign w:val="center"/>
          </w:tcPr>
          <w:p>
            <w:pPr>
              <w:jc w:val="left"/>
            </w:pPr>
            <w:r>
              <w:rPr>
                <w:rFonts w:ascii="Arial" w:hAnsi="Arial" w:eastAsia="Arial"/>
                <w:b/>
                <w:sz w:val="19"/>
              </w:rPr>
              <w:t>Implementation roadmap</w:t>
            </w:r>
          </w:p>
        </w:tc>
        <w:tc>
          <w:tcPr>
            <w:tcW w:type="dxa" w:w="5904"/>
            <w:tcMar>
              <w:top w:w="120" w:type="dxa"/>
              <w:start w:w="140" w:type="dxa"/>
              <w:bottom w:w="120" w:type="dxa"/>
              <w:end w:w="140" w:type="dxa"/>
            </w:tcMar>
            <w:vAlign w:val="center"/>
          </w:tcPr>
          <w:p>
            <w:pPr>
              <w:jc w:val="left"/>
            </w:pPr>
            <w:r>
              <w:rPr>
                <w:rFonts w:ascii="Arial" w:hAnsi="Arial" w:eastAsia="Arial"/>
                <w:b w:val="0"/>
                <w:sz w:val="19"/>
              </w:rPr>
              <w:t>Actions, sequence, owners, dependencies, target dates and required professional coordination.</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9</w:t>
            </w:r>
          </w:p>
        </w:tc>
        <w:tc>
          <w:tcPr>
            <w:tcW w:type="dxa" w:w="3024"/>
            <w:tcMar>
              <w:top w:w="120" w:type="dxa"/>
              <w:start w:w="140" w:type="dxa"/>
              <w:bottom w:w="120" w:type="dxa"/>
              <w:end w:w="140" w:type="dxa"/>
            </w:tcMar>
            <w:vAlign w:val="center"/>
          </w:tcPr>
          <w:p>
            <w:pPr>
              <w:jc w:val="left"/>
            </w:pPr>
            <w:r>
              <w:rPr>
                <w:rFonts w:ascii="Arial" w:hAnsi="Arial" w:eastAsia="Arial"/>
                <w:b/>
                <w:sz w:val="19"/>
              </w:rPr>
              <w:t>Risks, limitations and matters to confirm</w:t>
            </w:r>
          </w:p>
        </w:tc>
        <w:tc>
          <w:tcPr>
            <w:tcW w:type="dxa" w:w="5904"/>
            <w:tcMar>
              <w:top w:w="120" w:type="dxa"/>
              <w:start w:w="140" w:type="dxa"/>
              <w:bottom w:w="120" w:type="dxa"/>
              <w:end w:w="140" w:type="dxa"/>
            </w:tcMar>
            <w:vAlign w:val="center"/>
          </w:tcPr>
          <w:p>
            <w:pPr>
              <w:jc w:val="left"/>
            </w:pPr>
            <w:r>
              <w:rPr>
                <w:rFonts w:ascii="Arial" w:hAnsi="Arial" w:eastAsia="Arial"/>
                <w:b w:val="0"/>
                <w:sz w:val="19"/>
              </w:rPr>
              <w:t>Material uncertainties, exclusions, sensitivity points and required legal or specialist advice.</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10</w:t>
            </w:r>
          </w:p>
        </w:tc>
        <w:tc>
          <w:tcPr>
            <w:tcW w:type="dxa" w:w="3024"/>
            <w:tcMar>
              <w:top w:w="120" w:type="dxa"/>
              <w:start w:w="140" w:type="dxa"/>
              <w:bottom w:w="120" w:type="dxa"/>
              <w:end w:w="140" w:type="dxa"/>
            </w:tcMar>
            <w:vAlign w:val="center"/>
          </w:tcPr>
          <w:p>
            <w:pPr>
              <w:jc w:val="left"/>
            </w:pPr>
            <w:r>
              <w:rPr>
                <w:rFonts w:ascii="Arial" w:hAnsi="Arial" w:eastAsia="Arial"/>
                <w:b/>
                <w:sz w:val="19"/>
              </w:rPr>
              <w:t>Appendices</w:t>
            </w:r>
          </w:p>
        </w:tc>
        <w:tc>
          <w:tcPr>
            <w:tcW w:type="dxa" w:w="5904"/>
            <w:tcMar>
              <w:top w:w="120" w:type="dxa"/>
              <w:start w:w="140" w:type="dxa"/>
              <w:bottom w:w="120" w:type="dxa"/>
              <w:end w:w="140" w:type="dxa"/>
            </w:tcMar>
            <w:vAlign w:val="center"/>
          </w:tcPr>
          <w:p>
            <w:pPr>
              <w:jc w:val="left"/>
            </w:pPr>
            <w:r>
              <w:rPr>
                <w:rFonts w:ascii="Arial" w:hAnsi="Arial" w:eastAsia="Arial"/>
                <w:b w:val="0"/>
                <w:sz w:val="19"/>
              </w:rPr>
              <w:t>Detailed calculations, assumptions, supporting schedules, definitions and technical references.</w:t>
            </w:r>
          </w:p>
        </w:tc>
      </w:tr>
    </w:tbl>
    <w:p>
      <w:pPr>
        <w:pStyle w:val="Heading1"/>
      </w:pPr>
      <w:r>
        <w:t>4. At-a-glance summary</w:t>
      </w:r>
    </w:p>
    <w:p>
      <w:r>
        <w:t>The summary is the most important page in the report. It should normally fit on one page and be written last, after the analysis is complete.</w:t>
      </w:r>
    </w:p>
    <w:p>
      <w:pPr>
        <w:pStyle w:val="ListBullet"/>
        <w:spacing w:after="60"/>
      </w:pPr>
      <w:r>
        <w:t>State the client’s central question or decision in one sentence.</w:t>
      </w:r>
    </w:p>
    <w:p>
      <w:pPr>
        <w:pStyle w:val="ListBullet"/>
        <w:spacing w:after="60"/>
      </w:pPr>
      <w:r>
        <w:t>Name the recommended direction directly.</w:t>
      </w:r>
    </w:p>
    <w:p>
      <w:pPr>
        <w:pStyle w:val="ListBullet"/>
        <w:spacing w:after="60"/>
      </w:pPr>
      <w:r>
        <w:t>Give three to five reasons tied to the client’s objectives.</w:t>
      </w:r>
    </w:p>
    <w:p>
      <w:pPr>
        <w:pStyle w:val="ListBullet"/>
        <w:spacing w:after="60"/>
      </w:pPr>
      <w:r>
        <w:t>Identify the most important caution, dependency or unresolved matter.</w:t>
      </w:r>
    </w:p>
    <w:p>
      <w:pPr>
        <w:pStyle w:val="ListBullet"/>
        <w:spacing w:after="60"/>
      </w:pPr>
      <w:r>
        <w:t>List the first three actions and who is responsible for each.</w:t>
      </w:r>
    </w:p>
    <w:p>
      <w:pPr>
        <w:pStyle w:val="ListBullet"/>
        <w:spacing w:after="60"/>
      </w:pPr>
      <w:r>
        <w:t>Avoid introducing technical detail that is not explained elsewhere in the report.</w:t>
      </w:r>
    </w:p>
    <w:p>
      <w:pPr>
        <w:pStyle w:val="Heading1"/>
      </w:pPr>
      <w:r>
        <w:t>5. Analysis and recommendations</w:t>
      </w:r>
    </w:p>
    <w:p>
      <w:pPr>
        <w:pStyle w:val="Heading2"/>
      </w:pPr>
      <w:r>
        <w:t>Present options consistently</w:t>
      </w:r>
    </w:p>
    <w:p>
      <w:r>
        <w:t>Where alternatives are compared, use the same criteria, time horizon, assumptions and level of detail for each. Do not make the preferred option look stronger by describing it more fully than the others.</w:t>
      </w:r>
    </w:p>
    <w:p>
      <w:pPr>
        <w:pStyle w:val="Heading2"/>
      </w:pPr>
      <w:r>
        <w:t>Separate observation from judgment</w:t>
      </w:r>
    </w:p>
    <w:p>
      <w:r>
        <w:t>Readers should be able to distinguish what is known, what has been assumed, what follows from technical analysis and what represents Janke LLP’s professional recommendation.</w:t>
      </w:r>
    </w:p>
    <w:p>
      <w:pPr>
        <w:pStyle w:val="Heading2"/>
      </w:pPr>
      <w:r>
        <w:t>Make trade-offs visible</w:t>
      </w:r>
    </w:p>
    <w:p>
      <w:pPr>
        <w:pStyle w:val="ListBullet"/>
        <w:spacing w:after="60"/>
      </w:pPr>
      <w:r>
        <w:t>Quantify material differences where reliable information is available.</w:t>
      </w:r>
    </w:p>
    <w:p>
      <w:pPr>
        <w:pStyle w:val="ListBullet"/>
        <w:spacing w:after="60"/>
      </w:pPr>
      <w:r>
        <w:t>Explain non-financial considerations such as control, flexibility, family dynamics, implementation burden and timing.</w:t>
      </w:r>
    </w:p>
    <w:p>
      <w:pPr>
        <w:pStyle w:val="ListBullet"/>
        <w:spacing w:after="60"/>
      </w:pPr>
      <w:r>
        <w:t>Use ranges or scenarios when a single-point estimate would imply false precision.</w:t>
      </w:r>
    </w:p>
    <w:p>
      <w:pPr>
        <w:pStyle w:val="ListBullet"/>
        <w:spacing w:after="60"/>
      </w:pPr>
      <w:r>
        <w:t>State what would cause the recommendation to change.</w:t>
      </w:r>
    </w:p>
    <w:p>
      <w:pPr>
        <w:pStyle w:val="Heading2"/>
      </w:pPr>
      <w:r>
        <w:t>Use recommendations carefully</w:t>
      </w:r>
    </w:p>
    <w:p>
      <w:r>
        <w:t>A recommendation should be specific enough to guide action but not imply certainty beyond the evidence. Use conditional wording where legal, valuation, financing or tax outcomes depend on future facts or third-party advice.</w:t>
      </w:r>
    </w:p>
    <w:tbl>
      <w:tblPr>
        <w:tblW w:type="auto" w:w="0"/>
        <w:jc w:val="center"/>
        <w:tblLayout w:type="fixed"/>
        <w:tblLook w:firstColumn="1" w:firstRow="1" w:lastColumn="0" w:lastRow="0" w:noHBand="0" w:noVBand="1" w:val="04A0"/>
      </w:tblPr>
      <w:tblGrid>
        <w:gridCol w:w="9792"/>
      </w:tblGrid>
      <w:tr>
        <w:tc>
          <w:tcPr>
            <w:tcW w:type="dxa" w:w="9994"/>
            <w:shd w:fill="F7F5F0"/>
            <w:tcMar>
              <w:top w:w="180" w:type="dxa"/>
              <w:start w:w="200" w:type="dxa"/>
              <w:bottom w:w="180" w:type="dxa"/>
              <w:end w:w="200" w:type="dxa"/>
            </w:tcMar>
          </w:tcPr>
          <w:p>
            <w:r>
              <w:rPr>
                <w:rFonts w:ascii="Gilroy" w:hAnsi="Gilroy" w:eastAsia="Arial"/>
                <w:b/>
                <w:color w:val="B58A2C"/>
                <w:sz w:val="19"/>
              </w:rPr>
              <w:t>Decision test</w:t>
            </w:r>
          </w:p>
          <w:p>
            <w:r>
              <w:rPr>
                <w:rFonts w:ascii="Arial" w:hAnsi="Arial" w:eastAsia="Arial"/>
                <w:sz w:val="19"/>
              </w:rPr>
              <w:t>A client should be able to close the report and explain: what we are trying to accomplish, which path Janke LLP recommends, why, what could change the answer and what happens next.</w:t>
            </w:r>
          </w:p>
        </w:tc>
      </w:tr>
    </w:tbl>
    <w:p>
      <w:pPr>
        <w:pStyle w:val="Heading1"/>
      </w:pPr>
      <w:r>
        <w:t>6. Writing standards</w:t>
      </w:r>
    </w:p>
    <w:p>
      <w:pPr>
        <w:pStyle w:val="ListBullet"/>
        <w:spacing w:after="60"/>
      </w:pPr>
      <w:r>
        <w:t>Use plainspoken professional language. Define technical terms when first used and avoid unnecessary abbreviations.</w:t>
      </w:r>
    </w:p>
    <w:p>
      <w:pPr>
        <w:pStyle w:val="ListBullet"/>
        <w:spacing w:after="60"/>
      </w:pPr>
      <w:r>
        <w:t>Use short sections, informative headings and concise paragraphs. Headings should communicate substance, not merely label a topic.</w:t>
      </w:r>
    </w:p>
    <w:p>
      <w:pPr>
        <w:pStyle w:val="ListBullet"/>
        <w:spacing w:after="60"/>
      </w:pPr>
      <w:r>
        <w:t>Write directly to the client where appropriate, while maintaining a formal and durable record.</w:t>
      </w:r>
    </w:p>
    <w:p>
      <w:pPr>
        <w:pStyle w:val="ListBullet"/>
        <w:spacing w:after="60"/>
      </w:pPr>
      <w:r>
        <w:t>Avoid promotional claims, vague reassurance and unexplained jargon.</w:t>
      </w:r>
    </w:p>
    <w:p>
      <w:pPr>
        <w:pStyle w:val="ListBullet"/>
        <w:spacing w:after="60"/>
      </w:pPr>
      <w:r>
        <w:t>Use tables, diagrams and callouts only when they make a comparison, sequence or decision easier to understand.</w:t>
      </w:r>
    </w:p>
    <w:p>
      <w:pPr>
        <w:pStyle w:val="ListBullet"/>
        <w:spacing w:after="60"/>
      </w:pPr>
      <w:r>
        <w:t>Keep detailed legislation, calculations and technical commentary in appendices unless they are necessary to the decision.</w:t>
      </w:r>
    </w:p>
    <w:p>
      <w:pPr>
        <w:pStyle w:val="Heading1"/>
      </w:pPr>
      <w:r>
        <w:t>7. Visual and document standards</w:t>
      </w:r>
    </w:p>
    <w:p>
      <w:pPr>
        <w:pStyle w:val="ListBullet"/>
        <w:spacing w:after="60"/>
      </w:pPr>
      <w:r>
        <w:t>Use the approved Advisory Report Word and Excel templates, approved monochrome Janke LLP logo assets and the current brand palette. Use the black logo on white pages and the white logo on black cover treatments. Never recolour the logo Prairie Gold and never attach the supporting line to the logo.</w:t>
      </w:r>
    </w:p>
    <w:p>
      <w:pPr>
        <w:pStyle w:val="ListBullet"/>
        <w:spacing w:after="60"/>
      </w:pPr>
      <w:r>
        <w:t>Use Arial for sustained report text, tables and operational content. Use Gilroy for headings and designed display elements where available. Manrope is the preferred digital fallback where Gilroy is unavailable.</w:t>
      </w:r>
    </w:p>
    <w:p>
      <w:pPr>
        <w:pStyle w:val="ListBullet"/>
        <w:spacing w:after="60"/>
      </w:pPr>
      <w:r>
        <w:t>Use Letter size, portrait orientation by default. Landscape pages may be used for wide schedules when they materially improve readability.</w:t>
      </w:r>
    </w:p>
    <w:p>
      <w:pPr>
        <w:pStyle w:val="ListBullet"/>
        <w:spacing w:after="60"/>
      </w:pPr>
      <w:r>
        <w:t>Use page numbers, a clear contents page for longer reports and consistent heading levels.</w:t>
      </w:r>
    </w:p>
    <w:p>
      <w:pPr>
        <w:pStyle w:val="ListBullet"/>
      </w:pPr>
      <w:r>
        <w:t>Approved Word reports may use a full black cover with white supporting text and bright or core Prairie Gold display emphasis. Interior analysis pages should remain primarily white with near-black text and restrained core Prairie Gold accents.</w:t>
      </w:r>
    </w:p>
    <w:p>
      <w:pPr>
        <w:pStyle w:val="ListBullet"/>
        <w:spacing w:after="60"/>
      </w:pPr>
      <w:r>
        <w:t>Use near-black and white as the dominant visual system. Prairie Gold may be used selectively for headings, rules, markers, option labels and key emphasis, generally no more than 5–10% of the composition. Warm white and stone may be used sparingly as support neutrals. Avoid teal, sage and other legacy brand colours, decorative colour, dense borders and stock imagery.</w:t>
      </w:r>
    </w:p>
    <w:p>
      <w:pPr>
        <w:pStyle w:val="ListBullet"/>
        <w:spacing w:after="60"/>
      </w:pPr>
      <w:r>
        <w:t>Charts and tables must have descriptive titles, clear units, readable labels, source or assumption notes where needed, and sufficient contrast. Keep analytical pages predominantly black and white; use Prairie Gold only to guide attention to recommendations, key labels or decision points.</w:t>
      </w:r>
    </w:p>
    <w:p>
      <w:pPr>
        <w:pStyle w:val="ListBullet"/>
        <w:spacing w:after="60"/>
      </w:pPr>
      <w:r>
        <w:t>Confidentiality wording should appear where required by engagement terms or the sensitivity of the information.</w:t>
      </w:r>
    </w:p>
    <w:p>
      <w:pPr>
        <w:pStyle w:val="Heading1"/>
      </w:pPr>
      <w:r>
        <w:t>8. Financial information and scenarios</w:t>
      </w:r>
    </w:p>
    <w:p>
      <w:pPr>
        <w:pStyle w:val="ListBullet"/>
        <w:spacing w:after="60"/>
      </w:pPr>
      <w:r>
        <w:t>State the measurement date, currency and whether amounts are actual, estimated, rounded, nominal, after-tax or before-tax, as applicable.</w:t>
      </w:r>
    </w:p>
    <w:p>
      <w:pPr>
        <w:pStyle w:val="ListBullet"/>
        <w:spacing w:after="60"/>
      </w:pPr>
      <w:r>
        <w:t>Identify the source of key figures and separate client-provided information from Janke LLP calculations.</w:t>
      </w:r>
    </w:p>
    <w:p>
      <w:pPr>
        <w:pStyle w:val="ListBullet"/>
        <w:spacing w:after="60"/>
      </w:pPr>
      <w:r>
        <w:t>Show material assumptions close to the related table or chart, not only in a distant appendix.</w:t>
      </w:r>
    </w:p>
    <w:p>
      <w:pPr>
        <w:pStyle w:val="ListBullet"/>
        <w:spacing w:after="60"/>
      </w:pPr>
      <w:r>
        <w:t>Use consistent rounding and time periods across alternatives.</w:t>
      </w:r>
    </w:p>
    <w:p>
      <w:pPr>
        <w:pStyle w:val="ListBullet"/>
        <w:spacing w:after="60"/>
      </w:pPr>
      <w:r>
        <w:t>Explain sensitivities where the recommendation depends materially on valuation, tax rates, financing, timing or operating results.</w:t>
      </w:r>
    </w:p>
    <w:p>
      <w:pPr>
        <w:pStyle w:val="ListBullet"/>
        <w:spacing w:after="60"/>
      </w:pPr>
      <w:r>
        <w:t>Do not present forecasts or estimates as guarantees.</w:t>
      </w:r>
    </w:p>
    <w:p>
      <w:pPr>
        <w:pStyle w:val="Heading1"/>
      </w:pPr>
      <w:r>
        <w:t>9. Responsibilities, limitations and coordination</w:t>
      </w:r>
    </w:p>
    <w:p>
      <w:r>
        <w:t>The report must clearly identify the work Janke LLP has performed, the information relied upon, the client’s responsibilities and any need for legal, investment, insurance, valuation, financing or other specialist advice. It should also state material scope limitations and unresolved facts.</w:t>
      </w:r>
    </w:p>
    <w:p>
      <w:pPr>
        <w:pStyle w:val="Heading1"/>
      </w:pPr>
      <w:r>
        <w:t>10. Review and approval</w:t>
      </w:r>
    </w:p>
    <w:p>
      <w:r>
        <w:t>A partner or other authorized reviewer must approve the final report. Technical review should be proportionate to the complexity and risk of the engagement. The engagement team must confirm that calculations reconcile, assumptions are current, recommendations match the analysis and all implementation steps have a clear owner.</w:t>
      </w:r>
    </w:p>
    <w:p>
      <w:r>
        <w:br w:type="page"/>
      </w:r>
    </w:p>
    <w:p>
      <w:pPr>
        <w:pStyle w:val="Heading1"/>
      </w:pPr>
      <w:r>
        <w:t>11. Release checklist</w:t>
      </w:r>
    </w:p>
    <w:p>
      <w:pPr>
        <w:spacing w:after="100"/>
        <w:ind w:left="115"/>
      </w:pPr>
      <w:r>
        <w:rPr>
          <w:rFonts w:ascii="Arial" w:hAnsi="Arial"/>
          <w:color w:val="B58A2C"/>
          <w:sz w:val="22"/>
        </w:rPr>
        <w:t xml:space="preserve">☐  </w:t>
      </w:r>
      <w:r>
        <w:t>The report begins with the client’s objectives and the decision to be made.</w:t>
      </w:r>
    </w:p>
    <w:p>
      <w:pPr>
        <w:spacing w:after="100"/>
        <w:ind w:left="115"/>
      </w:pPr>
      <w:r>
        <w:rPr>
          <w:rFonts w:ascii="Arial" w:hAnsi="Arial"/>
          <w:color w:val="B58A2C"/>
          <w:sz w:val="22"/>
        </w:rPr>
        <w:t xml:space="preserve">☐  </w:t>
      </w:r>
      <w:r>
        <w:t>The at-a-glance summary states the recommendation, reasons, cautions and immediate actions.</w:t>
      </w:r>
    </w:p>
    <w:p>
      <w:pPr>
        <w:spacing w:after="100"/>
        <w:ind w:left="115"/>
      </w:pPr>
      <w:r>
        <w:rPr>
          <w:rFonts w:ascii="Arial" w:hAnsi="Arial"/>
          <w:color w:val="B58A2C"/>
          <w:sz w:val="22"/>
        </w:rPr>
        <w:t xml:space="preserve">☐  </w:t>
      </w:r>
      <w:r>
        <w:t>Facts, assumptions, analysis and recommendations are distinguishable.</w:t>
      </w:r>
    </w:p>
    <w:p>
      <w:pPr>
        <w:spacing w:after="100"/>
        <w:ind w:left="115"/>
      </w:pPr>
      <w:r>
        <w:rPr>
          <w:rFonts w:ascii="Arial" w:hAnsi="Arial"/>
          <w:color w:val="B58A2C"/>
          <w:sz w:val="22"/>
        </w:rPr>
        <w:t xml:space="preserve">☐  </w:t>
      </w:r>
      <w:r>
        <w:t>Options are compared using consistent criteria and time periods.</w:t>
      </w:r>
    </w:p>
    <w:p>
      <w:pPr>
        <w:spacing w:after="100"/>
        <w:ind w:left="115"/>
      </w:pPr>
      <w:r>
        <w:rPr>
          <w:rFonts w:ascii="Arial" w:hAnsi="Arial"/>
          <w:color w:val="B58A2C"/>
          <w:sz w:val="22"/>
        </w:rPr>
        <w:t xml:space="preserve">☐  </w:t>
      </w:r>
      <w:r>
        <w:t>Material financial figures, sources, dates, units and assumptions are clear.</w:t>
      </w:r>
    </w:p>
    <w:p>
      <w:pPr>
        <w:spacing w:after="100"/>
        <w:ind w:left="115"/>
      </w:pPr>
      <w:r>
        <w:rPr>
          <w:rFonts w:ascii="Arial" w:hAnsi="Arial"/>
          <w:color w:val="B58A2C"/>
          <w:sz w:val="22"/>
        </w:rPr>
        <w:t xml:space="preserve">☐  </w:t>
      </w:r>
      <w:r>
        <w:t>Trade-offs, risks, dependencies and matters requiring confirmation are visible.</w:t>
      </w:r>
    </w:p>
    <w:p>
      <w:pPr>
        <w:spacing w:after="100"/>
        <w:ind w:left="115"/>
      </w:pPr>
      <w:r>
        <w:rPr>
          <w:rFonts w:ascii="Arial" w:hAnsi="Arial"/>
          <w:color w:val="B58A2C"/>
          <w:sz w:val="22"/>
        </w:rPr>
        <w:t xml:space="preserve">☐  </w:t>
      </w:r>
      <w:r>
        <w:t>The implementation roadmap identifies actions, owners, sequence and timing.</w:t>
      </w:r>
    </w:p>
    <w:p>
      <w:pPr>
        <w:spacing w:after="100"/>
        <w:ind w:left="115"/>
      </w:pPr>
      <w:r>
        <w:rPr>
          <w:rFonts w:ascii="Arial" w:hAnsi="Arial"/>
          <w:color w:val="B58A2C"/>
          <w:sz w:val="22"/>
        </w:rPr>
        <w:t xml:space="preserve">☐  </w:t>
      </w:r>
      <w:r>
        <w:t>Technical detail is placed at the right level and appendices are cross-referenced.</w:t>
      </w:r>
    </w:p>
    <w:p>
      <w:pPr>
        <w:spacing w:after="100"/>
        <w:ind w:left="115"/>
      </w:pPr>
      <w:r>
        <w:rPr>
          <w:rFonts w:ascii="Arial" w:hAnsi="Arial"/>
          <w:color w:val="B58A2C"/>
          <w:sz w:val="22"/>
        </w:rPr>
        <w:t xml:space="preserve">☐  </w:t>
      </w:r>
      <w:r>
        <w:t>Tables, charts, headings, page numbers and contents navigation are readable and consistent.</w:t>
      </w:r>
    </w:p>
    <w:p>
      <w:pPr>
        <w:spacing w:after="100"/>
        <w:ind w:left="115"/>
      </w:pPr>
      <w:r>
        <w:rPr>
          <w:rFonts w:ascii="Arial" w:hAnsi="Arial"/>
          <w:color w:val="B58A2C"/>
          <w:sz w:val="22"/>
        </w:rPr>
        <w:t xml:space="preserve">☐  </w:t>
      </w:r>
      <w:r>
        <w:t>Confidentiality, scope, reliance and specialist-advice language is appropriate.</w:t>
      </w:r>
    </w:p>
    <w:p>
      <w:pPr>
        <w:spacing w:after="100"/>
        <w:ind w:left="115"/>
      </w:pPr>
      <w:r>
        <w:rPr>
          <w:rFonts w:ascii="Arial" w:hAnsi="Arial"/>
          <w:color w:val="B58A2C"/>
          <w:sz w:val="22"/>
        </w:rPr>
        <w:t xml:space="preserve">☐  </w:t>
      </w:r>
      <w:r>
        <w:t>Calculations and references have been checked and the required review has been completed.</w:t>
      </w:r>
    </w:p>
    <w:p>
      <w:pPr>
        <w:spacing w:after="100"/>
        <w:ind w:left="115"/>
      </w:pPr>
      <w:r>
        <w:rPr>
          <w:rFonts w:ascii="Arial" w:hAnsi="Arial"/>
          <w:color w:val="B58A2C"/>
          <w:sz w:val="22"/>
        </w:rPr>
        <w:t xml:space="preserve">☐  </w:t>
      </w:r>
      <w:r>
        <w:t>The final file name, version date and approved client name are correct.</w:t>
      </w:r>
    </w:p>
    <w:p>
      <w:pPr>
        <w:pStyle w:val="Heading1"/>
      </w:pPr>
      <w:r>
        <w:t>12. Related templates</w:t>
      </w:r>
    </w:p>
    <w:p>
      <w:r>
        <w:t>Use this standard with the approved Advisory Report Template — Word and Advisory Report Template — Excel. The Word template may use a full black cover with white copy and restrained Prairie Gold display accents, while internal report pages remain predominantly white, black and highly readable. The Excel template follows the same hierarchy across its worksheets. Where useful, a separate one-page client handout or meeting summary may be derived from the final report, but it must not replace or contradict the report’s analysis and recommendations.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A7472"/>
        <w:sz w:val="16"/>
      </w:rPr>
      <w:t>Janke LLP Advisory Report Standard  |  Version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2148840" cy="548763"/>
          <wp:docPr id="1" name="Picture 1"/>
          <wp:cNvGraphicFramePr>
            <a:graphicFrameLocks noChangeAspect="1"/>
          </wp:cNvGraphicFramePr>
          <a:graphic>
            <a:graphicData uri="http://schemas.openxmlformats.org/drawingml/2006/picture">
              <pic:pic>
                <pic:nvPicPr>
                  <pic:cNvPr id="0" name="janke_logo_header_trim.png"/>
                  <pic:cNvPicPr/>
                </pic:nvPicPr>
                <pic:blipFill>
                  <a:blip r:embed="rId1"/>
                  <a:stretch>
                    <a:fillRect/>
                  </a:stretch>
                </pic:blipFill>
                <pic:spPr>
                  <a:xfrm>
                    <a:off x="0" y="0"/>
                    <a:ext cx="2148840" cy="54876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Gilroy" w:hAnsi="Gilroy" w:eastAsia="Arial"/>
      <w:b/>
      <w:bCs/>
      <w:color w:val="B58A2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ilroy" w:hAnsi="Gilroy" w:eastAsia="Arial"/>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B58A2C"/>
      </w:pBdr>
      <w:spacing w:after="300" w:line="240" w:lineRule="auto"/>
      <w:contextualSpacing/>
    </w:pPr>
    <w:rPr>
      <w:rFonts w:asciiTheme="majorHAnsi" w:eastAsiaTheme="majorEastAsia" w:hAnsiTheme="majorHAnsi" w:cstheme="majorBidi" w:ascii="Gilroy" w:hAnsi="Gilroy" w:eastAsia="Arial"/>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Janke LLP Advisory Report Standard — Version 2.0</dc:title>
  <dc:subject>Brand and client advisory communication standard</dc:subject>
  <dc:creator>Janke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