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00"/>
      </w:pPr>
      <w:r>
        <w:rPr>
          <w:rFonts w:ascii="Gilroy" w:hAnsi="Gilroy" w:eastAsia="Gilroy"/>
          <w:b/>
          <w:i w:val="0"/>
          <w:color w:val="D4A842"/>
          <w:sz w:val="56"/>
        </w:rPr>
        <w:t>BRAND ROLLOUT</w:t>
      </w:r>
    </w:p>
    <w:p>
      <w:pPr>
        <w:spacing w:after="480"/>
      </w:pPr>
      <w:r>
        <w:rPr>
          <w:rFonts w:ascii="Gilroy" w:hAnsi="Gilroy" w:eastAsia="Gilroy"/>
          <w:b/>
          <w:i w:val="0"/>
          <w:color w:val="FFFFFF"/>
          <w:sz w:val="40"/>
        </w:rPr>
        <w:t>AND IMPLEMENTATION CHECKLIST</w:t>
      </w:r>
    </w:p>
    <w:p>
      <w:pPr>
        <w:spacing w:after="120"/>
      </w:pPr>
      <w:r>
        <w:rPr>
          <w:rFonts w:ascii="Arial" w:hAnsi="Arial" w:eastAsia="Arial"/>
          <w:b w:val="0"/>
          <w:i w:val="0"/>
          <w:color w:val="FFFFFF"/>
          <w:sz w:val="26"/>
        </w:rPr>
        <w:t>From approved standards to everyday use.</w:t>
      </w:r>
    </w:p>
    <w:p>
      <w:pPr>
        <w:spacing w:after="840" w:line="276" w:lineRule="auto"/>
        <w:jc w:val="left"/>
      </w:pPr>
      <w:r>
        <w:rPr>
          <w:rFonts w:ascii="Arial" w:hAnsi="Arial" w:eastAsia="Arial"/>
          <w:b w:val="0"/>
          <w:i w:val="0"/>
          <w:color w:val="E8E6E1"/>
          <w:sz w:val="21"/>
        </w:rPr>
        <w:t>A practical control document for deploying the Janke LLP brand across files, systems, client communications, recruitment, social media and staff workflows.</w:t>
      </w:r>
    </w:p>
    <w:p>
      <w:pPr>
        <w:pBdr>
          <w:bottom w:val="single" w:sz="14" w:space="3" w:color="D4A842"/>
        </w:pBdr>
        <w:spacing w:after="520"/>
      </w:pPr>
    </w:p>
    <w:p>
      <w:pPr>
        <w:spacing w:after="80"/>
      </w:pPr>
      <w:r>
        <w:rPr>
          <w:rFonts w:ascii="Arial" w:hAnsi="Arial" w:eastAsia="Arial"/>
          <w:b/>
          <w:i w:val="0"/>
          <w:color w:val="D4A842"/>
          <w:sz w:val="17"/>
        </w:rPr>
        <w:t xml:space="preserve">STATUS      </w:t>
      </w:r>
      <w:r>
        <w:rPr>
          <w:rFonts w:ascii="Arial" w:hAnsi="Arial" w:eastAsia="Arial"/>
          <w:b/>
          <w:i w:val="0"/>
          <w:color w:val="FFFFFF"/>
          <w:sz w:val="19"/>
        </w:rPr>
        <w:t>FOR APPROVAL</w:t>
      </w:r>
    </w:p>
    <w:p>
      <w:pPr>
        <w:spacing w:after="80"/>
      </w:pPr>
      <w:r>
        <w:rPr>
          <w:rFonts w:ascii="Arial" w:hAnsi="Arial" w:eastAsia="Arial"/>
          <w:b/>
          <w:i w:val="0"/>
          <w:color w:val="D4A842"/>
          <w:sz w:val="17"/>
        </w:rPr>
        <w:t xml:space="preserve">VERSION     </w:t>
      </w:r>
      <w:r>
        <w:rPr>
          <w:rFonts w:ascii="Arial" w:hAnsi="Arial" w:eastAsia="Arial"/>
          <w:b/>
          <w:i w:val="0"/>
          <w:color w:val="FFFFFF"/>
          <w:sz w:val="19"/>
        </w:rPr>
        <w:t>1.0</w:t>
      </w:r>
    </w:p>
    <w:p>
      <w:pPr>
        <w:spacing w:after="80"/>
      </w:pPr>
      <w:r>
        <w:rPr>
          <w:rFonts w:ascii="Arial" w:hAnsi="Arial" w:eastAsia="Arial"/>
          <w:b/>
          <w:i w:val="0"/>
          <w:color w:val="D4A842"/>
          <w:sz w:val="17"/>
        </w:rPr>
        <w:t xml:space="preserve">ROLL OUT    </w:t>
      </w:r>
      <w:r>
        <w:rPr>
          <w:rFonts w:ascii="Arial" w:hAnsi="Arial" w:eastAsia="Arial"/>
          <w:b/>
          <w:i w:val="0"/>
          <w:color w:val="FFFFFF"/>
          <w:sz w:val="19"/>
        </w:rPr>
        <w:t>IMMEDIATE</w:t>
      </w:r>
    </w:p>
    <w:p>
      <w:pPr>
        <w:spacing w:after="80"/>
      </w:pPr>
      <w:r>
        <w:rPr>
          <w:rFonts w:ascii="Arial" w:hAnsi="Arial" w:eastAsia="Arial"/>
          <w:b/>
          <w:i w:val="0"/>
          <w:color w:val="D4A842"/>
          <w:sz w:val="17"/>
        </w:rPr>
        <w:t xml:space="preserve">REVIEW      </w:t>
      </w:r>
      <w:r>
        <w:rPr>
          <w:rFonts w:ascii="Arial" w:hAnsi="Arial" w:eastAsia="Arial"/>
          <w:b/>
          <w:i w:val="0"/>
          <w:color w:val="FFFFFF"/>
          <w:sz w:val="19"/>
        </w:rPr>
        <w:t>ANNUAL</w:t>
      </w:r>
    </w:p>
    <w:p>
      <w:pPr>
        <w:spacing w:before="920"/>
      </w:pPr>
      <w:r>
        <w:rPr>
          <w:rFonts w:ascii="Gilroy" w:hAnsi="Gilroy" w:eastAsia="Gilroy"/>
          <w:b/>
          <w:i w:val="0"/>
          <w:color w:val="D4A842"/>
          <w:sz w:val="22"/>
        </w:rPr>
        <w:t>Grounded advice. Grow better.</w:t>
      </w:r>
    </w:p>
    <w:p>
      <w:r>
        <w:br w:type="page"/>
      </w:r>
    </w:p>
    <w:p>
      <w:pPr>
        <w:keepNext/>
        <w:spacing w:before="200" w:after="140" w:line="240" w:lineRule="auto"/>
        <w:pBdr>
          <w:bottom w:val="single" w:sz="10" w:space="4" w:color="B58A2C"/>
        </w:pBdr>
      </w:pPr>
      <w:r>
        <w:rPr>
          <w:rFonts w:ascii="Arial" w:hAnsi="Arial" w:eastAsia="Arial"/>
          <w:b/>
          <w:i w:val="0"/>
          <w:color w:val="B58A2C"/>
          <w:sz w:val="20"/>
        </w:rPr>
        <w:t xml:space="preserve">01  </w:t>
      </w:r>
      <w:r>
        <w:rPr>
          <w:rFonts w:ascii="Gilroy" w:hAnsi="Gilroy" w:eastAsia="Gilroy"/>
          <w:b/>
          <w:i w:val="0"/>
          <w:color w:val="111111"/>
          <w:sz w:val="36"/>
        </w:rPr>
        <w:t>Purpose and rollout rules</w:t>
      </w:r>
    </w:p>
    <w:p>
      <w:pPr>
        <w:spacing w:before="0" w:after="120" w:line="264" w:lineRule="auto"/>
        <w:jc w:val="both"/>
      </w:pPr>
      <w:r>
        <w:rPr>
          <w:rFonts w:ascii="Arial" w:hAnsi="Arial" w:eastAsia="Arial"/>
          <w:b w:val="0"/>
          <w:i w:val="0"/>
          <w:color w:val="111111"/>
          <w:sz w:val="20"/>
        </w:rPr>
        <w:t>This checklist turns the approved Janke LLP brand system into a controlled rollout process. It is designed to make the current files easy to find, difficult to misuse and clearly retired when superseded. Complete the actions in order, record ownership internally and use the current approved master rather than adapting an older client file.</w:t>
      </w:r>
    </w:p>
    <w:tbl>
      <w:tblPr>
        <w:tblW w:type="auto" w:w="0"/>
        <w:jc w:val="center"/>
        <w:tblLayout w:type="fixed"/>
        <w:tblLook w:firstColumn="1" w:firstRow="1" w:lastColumn="0" w:lastRow="0" w:noHBand="0" w:noVBand="1" w:val="04A0"/>
      </w:tblPr>
      <w:tblGrid>
        <w:gridCol w:w="9994"/>
      </w:tblGrid>
      <w:tr>
        <w:trPr>
          <w:cantSplit/>
        </w:trPr>
        <w:tc>
          <w:tcPr>
            <w:tcW w:type="dxa" w:w="9648"/>
            <w:tcMar>
              <w:top w:w="150" w:type="dxa"/>
              <w:start w:w="180" w:type="dxa"/>
              <w:bottom w:w="150" w:type="dxa"/>
              <w:end w:w="180" w:type="dxa"/>
            </w:tcMar>
            <w:shd w:fill="111111" w:val="clear"/>
            <w:tcBorders>
              <w:top w:val="single" w:sz="10" w:color="B58A2C"/>
              <w:bottom w:val="single" w:sz="4" w:color="E8E5DE"/>
            </w:tcBorders>
          </w:tcPr>
          <w:p>
            <w:pPr>
              <w:spacing w:before="0" w:after="80" w:line="240" w:lineRule="auto"/>
            </w:pPr>
            <w:r>
              <w:rPr>
                <w:rFonts w:ascii="Gilroy" w:hAnsi="Gilroy" w:eastAsia="Gilroy"/>
                <w:b/>
                <w:i w:val="0"/>
                <w:color w:val="D4A842"/>
                <w:sz w:val="18"/>
              </w:rPr>
              <w:t>IMPLEMENTATION PRINCIPLE</w:t>
            </w:r>
          </w:p>
          <w:p>
            <w:pPr>
              <w:spacing w:before="0" w:after="0" w:line="259" w:lineRule="auto"/>
            </w:pPr>
            <w:r>
              <w:rPr>
                <w:rFonts w:ascii="Arial" w:hAnsi="Arial" w:eastAsia="Arial"/>
                <w:b w:val="0"/>
                <w:i w:val="0"/>
                <w:color w:val="FFFFFF"/>
                <w:sz w:val="20"/>
              </w:rPr>
              <w:t>The brand is adopted for immediate rollout. Do not wait for optional future outputs. The Brand Governance and Asset Register remains intentionally deferred until the approved masters are stored in their permanent server locations.</w:t>
            </w:r>
          </w:p>
        </w:tc>
      </w:tr>
    </w:tbl>
    <w:p>
      <w:pPr>
        <w:spacing w:after="20"/>
      </w:pPr>
    </w:p>
    <w:p>
      <w:pPr>
        <w:keepNext/>
        <w:spacing w:before="160" w:after="80" w:line="240" w:lineRule="auto"/>
      </w:pPr>
      <w:r>
        <w:rPr>
          <w:rFonts w:ascii="Gilroy" w:hAnsi="Gilroy" w:eastAsia="Gilroy"/>
          <w:b/>
          <w:i w:val="0"/>
          <w:color w:val="111111"/>
          <w:sz w:val="25"/>
        </w:rPr>
        <w:t>A. Deployment readiness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80"/>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655"/>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the Managing Partner has approved the final master Brand Guide and all required standards/templates.</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MP</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the black, white and Prairie Gold system is the only active visual palette for new branded materials.</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current logos are unchanged structurally and approved black/white monochrome files are available.</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Gilroy is available for marketing/presentation headings and Arial is available for formal/operational use.</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a designated marketing lead is identified for routine brand application and asset control.</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MP</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go-live</w:t>
            </w:r>
          </w:p>
        </w:tc>
      </w:tr>
    </w:tbl>
    <w:p>
      <w:pPr>
        <w:spacing w:after="40"/>
      </w:pPr>
    </w:p>
    <w:p>
      <w:pPr>
        <w:keepNext/>
        <w:spacing w:before="160" w:after="80" w:line="240" w:lineRule="auto"/>
      </w:pPr>
      <w:r>
        <w:rPr>
          <w:rFonts w:ascii="Gilroy" w:hAnsi="Gilroy" w:eastAsia="Gilroy"/>
          <w:b/>
          <w:i w:val="0"/>
          <w:color w:val="111111"/>
          <w:sz w:val="25"/>
        </w:rPr>
        <w:t>B. Create the single source of truth</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80"/>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655"/>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Create one controlled server location for approved brand assets and implementation resources.</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Create clear folders for Brand Guide, Logos, Templates, Photography, Social, Presentations and Archived/Superseded files.</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Place only approved current masters in the active folders; move earlier versions to an archive location.</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Restrict editing of master templates where practical; staff should create copies rather than overwrite masters.</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version names consistently and mark superseded files so they cannot be mistaken for current masters.</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Do not record temporary ChatGPT or local-file paths in the future Asset Register.</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bl>
    <w:p>
      <w:pPr>
        <w:spacing w:after="40"/>
      </w:pPr>
    </w:p>
    <w:p>
      <w:pPr>
        <w:keepNext/>
        <w:spacing w:before="200" w:after="140" w:line="240" w:lineRule="auto"/>
        <w:pBdr>
          <w:bottom w:val="single" w:sz="10" w:space="4" w:color="B58A2C"/>
        </w:pBdr>
      </w:pPr>
      <w:r>
        <w:rPr>
          <w:rFonts w:ascii="Arial" w:hAnsi="Arial" w:eastAsia="Arial"/>
          <w:b/>
          <w:i w:val="0"/>
          <w:color w:val="B58A2C"/>
          <w:sz w:val="20"/>
        </w:rPr>
        <w:t xml:space="preserve">02  </w:t>
      </w:r>
      <w:r>
        <w:rPr>
          <w:rFonts w:ascii="Gilroy" w:hAnsi="Gilroy" w:eastAsia="Gilroy"/>
          <w:b/>
          <w:i w:val="0"/>
          <w:color w:val="111111"/>
          <w:sz w:val="36"/>
        </w:rPr>
        <w:t>Deploy the system into everyday work</w:t>
      </w:r>
    </w:p>
    <w:p>
      <w:pPr>
        <w:spacing w:before="0" w:after="120" w:line="264" w:lineRule="auto"/>
        <w:jc w:val="both"/>
      </w:pPr>
      <w:r>
        <w:rPr>
          <w:rFonts w:ascii="Arial" w:hAnsi="Arial" w:eastAsia="Arial"/>
          <w:b w:val="0"/>
          <w:i w:val="0"/>
          <w:color w:val="111111"/>
          <w:sz w:val="20"/>
        </w:rPr>
        <w:t>Rollout succeeds when the approved files become the easiest files to use. Replace legacy starting points in the places staff actually work, then test the first real outputs before the old versions disappear from view.</w:t>
      </w:r>
    </w:p>
    <w:p>
      <w:pPr>
        <w:keepNext/>
        <w:spacing w:before="160" w:after="80" w:line="240" w:lineRule="auto"/>
      </w:pPr>
      <w:r>
        <w:rPr>
          <w:rFonts w:ascii="Gilroy" w:hAnsi="Gilroy" w:eastAsia="Gilroy"/>
          <w:b/>
          <w:i w:val="0"/>
          <w:color w:val="111111"/>
          <w:sz w:val="25"/>
        </w:rPr>
        <w:t>C. Microsoft Office and staff-facing deployment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letter and memo templates in the normal staff template location.</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proposal family: full proposal and proposal-at-a-glance.</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one-page client handout and “Working with Janke LLP” dark handout.</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recruitment posting template and standard.</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HR</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Advisory Report Word template and Excel workbook.</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Advisory</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PowerPoint standard and dark presentation template.</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testimonial/case-study template and social-media template/sample package.</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Publish the approved email signature/formatting standard and signature template.</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bl>
    <w:p>
      <w:pPr>
        <w:spacing w:after="40"/>
      </w:pPr>
    </w:p>
    <w:p>
      <w:pPr>
        <w:keepNext/>
        <w:spacing w:before="160" w:after="80" w:line="240" w:lineRule="auto"/>
      </w:pPr>
      <w:r>
        <w:rPr>
          <w:rFonts w:ascii="Gilroy" w:hAnsi="Gilroy" w:eastAsia="Gilroy"/>
          <w:b/>
          <w:i w:val="0"/>
          <w:color w:val="111111"/>
          <w:sz w:val="25"/>
        </w:rPr>
        <w:t>D. Email and signature rollout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Apply the approved black-and-white signature format consistently across partners and staff.</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Arial for email body text; remove decorative stationery, coloured signatures and promotional banners.</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All staff</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Test signatures on desktop, mobile, dark mode and image-blocked views.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Keep text-based contact information visible even when the logo image is blocked.</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bl>
    <w:p>
      <w:pPr>
        <w:spacing w:after="40"/>
      </w:pPr>
    </w:p>
    <w:p>
      <w:pPr>
        <w:keepNext/>
        <w:spacing w:before="160" w:after="80" w:line="240" w:lineRule="auto"/>
      </w:pPr>
      <w:r>
        <w:rPr>
          <w:rFonts w:ascii="Gilroy" w:hAnsi="Gilroy" w:eastAsia="Gilroy"/>
          <w:b/>
          <w:i w:val="0"/>
          <w:color w:val="111111"/>
          <w:sz w:val="25"/>
        </w:rPr>
        <w:t>E. First-use quality control</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Produce one live test from each major template family before broad release.</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First use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Check page breaks, headers, footers, logo scale, typography, spacing, colour use and accessibility.</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First use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Verify technical claims, names, dates, calculations and client-specific facts before release.</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SME / Author</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use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gold remains a restrained accent and does not replace black body text on white backgrounds.</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use</w:t>
            </w:r>
          </w:p>
        </w:tc>
      </w:tr>
    </w:tbl>
    <w:p>
      <w:pPr>
        <w:spacing w:after="40"/>
      </w:pPr>
    </w:p>
    <w:p>
      <w:pPr>
        <w:keepNext/>
        <w:spacing w:before="200" w:after="140" w:line="240" w:lineRule="auto"/>
        <w:pBdr>
          <w:bottom w:val="single" w:sz="10" w:space="4" w:color="B58A2C"/>
        </w:pBdr>
      </w:pPr>
      <w:r>
        <w:rPr>
          <w:rFonts w:ascii="Arial" w:hAnsi="Arial" w:eastAsia="Arial"/>
          <w:b/>
          <w:i w:val="0"/>
          <w:color w:val="B58A2C"/>
          <w:sz w:val="20"/>
        </w:rPr>
        <w:t xml:space="preserve">03  </w:t>
      </w:r>
      <w:r>
        <w:rPr>
          <w:rFonts w:ascii="Gilroy" w:hAnsi="Gilroy" w:eastAsia="Gilroy"/>
          <w:b/>
          <w:i w:val="0"/>
          <w:color w:val="111111"/>
          <w:sz w:val="36"/>
        </w:rPr>
        <w:t>Client-facing, digital and recruiting rollout</w:t>
      </w:r>
    </w:p>
    <w:p>
      <w:pPr>
        <w:spacing w:before="0" w:after="120" w:line="264" w:lineRule="auto"/>
        <w:jc w:val="both"/>
      </w:pPr>
      <w:r>
        <w:rPr>
          <w:rFonts w:ascii="Arial" w:hAnsi="Arial" w:eastAsia="Arial"/>
          <w:b w:val="0"/>
          <w:i w:val="0"/>
          <w:color w:val="111111"/>
          <w:sz w:val="20"/>
        </w:rPr>
        <w:t>External touchpoints should make the same promise: sophisticated advice, practical clarity and a low-pressure next step. The visual system should feel premium because it is disciplined, not because it is decorated.</w:t>
      </w:r>
    </w:p>
    <w:p>
      <w:pPr>
        <w:keepNext/>
        <w:spacing w:before="160" w:after="80" w:line="240" w:lineRule="auto"/>
      </w:pPr>
      <w:r>
        <w:rPr>
          <w:rFonts w:ascii="Gilroy" w:hAnsi="Gilroy" w:eastAsia="Gilroy"/>
          <w:b/>
          <w:i w:val="0"/>
          <w:color w:val="111111"/>
          <w:sz w:val="25"/>
        </w:rPr>
        <w:t>F. Website and digital channels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Audit website pages for outdated colour, typography, service-led messaging and inconsistent calls to action.</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After 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Lead key pages with client needs, decisions and opportunities, supported by industry context.</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After 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the preferred geography language where appropriate: rooted in Northeast Saskatchewan and serving clients throughout Saskatchewan.</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As updated</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“What does better look like?” / “Start the conversation” only where it fits the approved website journey.</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As updated</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web contrast, alt text, image rights and responsive readability.</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Web</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update</w:t>
            </w:r>
          </w:p>
        </w:tc>
      </w:tr>
    </w:tbl>
    <w:p>
      <w:pPr>
        <w:spacing w:after="40"/>
      </w:pPr>
    </w:p>
    <w:p>
      <w:pPr>
        <w:keepNext/>
        <w:spacing w:before="160" w:after="80" w:line="240" w:lineRule="auto"/>
      </w:pPr>
      <w:r>
        <w:rPr>
          <w:rFonts w:ascii="Gilroy" w:hAnsi="Gilroy" w:eastAsia="Gilroy"/>
          <w:b/>
          <w:i w:val="0"/>
          <w:color w:val="111111"/>
          <w:sz w:val="25"/>
        </w:rPr>
        <w:t>G. Social media and educational content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Replace any legacy teal, sage or navy sample visuals with the approved black/white/Prairie Gold examples.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the approved social template for planning, accessibility, technical review, consent and approvals.</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post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Lead with a useful idea, question, opportunity or client-relevant insight; avoid generic motivational content.</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Author</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post</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Obtain subject-matter review for technical accounting, tax, assurance or legal-adjacent content.</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SME</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publish</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Obtain project-specific written consent for identifiable clients, quotations and case-study details.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publish</w:t>
            </w:r>
          </w:p>
        </w:tc>
      </w:tr>
    </w:tbl>
    <w:p>
      <w:pPr>
        <w:spacing w:after="40"/>
      </w:pPr>
    </w:p>
    <w:p>
      <w:pPr>
        <w:keepNext/>
        <w:spacing w:before="160" w:after="80" w:line="240" w:lineRule="auto"/>
      </w:pPr>
      <w:r>
        <w:rPr>
          <w:rFonts w:ascii="Gilroy" w:hAnsi="Gilroy" w:eastAsia="Gilroy"/>
          <w:b/>
          <w:i w:val="0"/>
          <w:color w:val="111111"/>
          <w:sz w:val="25"/>
        </w:rPr>
        <w:t>H. Recruitment and employer brand</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the approved recruitment template and three recruitment pillars for new postings and campaigns.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HR / 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posting</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Use real Janke LLP people and Saskatchewan context where practical; minimize generic corporate stock imagery.</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HR</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campaign</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Keep recruitment creative within the same black/white/gold system while allowing a warmer, more conversational voice.</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HR</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Each campaign</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Review candidate-facing materials for consistent role details, work-life claims, tools/systems claims and application instructions.</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HR</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Before publish</w:t>
            </w:r>
          </w:p>
        </w:tc>
      </w:tr>
    </w:tbl>
    <w:p>
      <w:pPr>
        <w:spacing w:after="40"/>
      </w:pPr>
    </w:p>
    <w:p>
      <w:pPr>
        <w:keepNext/>
        <w:spacing w:before="200" w:after="140" w:line="240" w:lineRule="auto"/>
        <w:pBdr>
          <w:bottom w:val="single" w:sz="10" w:space="4" w:color="B58A2C"/>
        </w:pBdr>
      </w:pPr>
      <w:r>
        <w:rPr>
          <w:rFonts w:ascii="Arial" w:hAnsi="Arial" w:eastAsia="Arial"/>
          <w:b/>
          <w:i w:val="0"/>
          <w:color w:val="B58A2C"/>
          <w:sz w:val="20"/>
        </w:rPr>
        <w:t xml:space="preserve">04  </w:t>
      </w:r>
      <w:r>
        <w:rPr>
          <w:rFonts w:ascii="Gilroy" w:hAnsi="Gilroy" w:eastAsia="Gilroy"/>
          <w:b/>
          <w:i w:val="0"/>
          <w:color w:val="111111"/>
          <w:sz w:val="36"/>
        </w:rPr>
        <w:t>Adoption, retirement and governance</w:t>
      </w:r>
    </w:p>
    <w:p>
      <w:pPr>
        <w:spacing w:before="0" w:after="120" w:line="264" w:lineRule="auto"/>
        <w:jc w:val="both"/>
      </w:pPr>
      <w:r>
        <w:rPr>
          <w:rFonts w:ascii="Arial" w:hAnsi="Arial" w:eastAsia="Arial"/>
          <w:b w:val="0"/>
          <w:i w:val="0"/>
          <w:color w:val="111111"/>
          <w:sz w:val="20"/>
        </w:rPr>
        <w:t>The rollout is not complete when files are uploaded. It is complete when staff use the approved masters by default, old assets are no longer convenient to reuse and the firm has a simple review rhythm for catching drift.</w:t>
      </w:r>
    </w:p>
    <w:p>
      <w:pPr>
        <w:keepNext/>
        <w:spacing w:before="160" w:after="80" w:line="240" w:lineRule="auto"/>
      </w:pPr>
      <w:r>
        <w:rPr>
          <w:rFonts w:ascii="Gilroy" w:hAnsi="Gilroy" w:eastAsia="Gilroy"/>
          <w:b/>
          <w:i w:val="0"/>
          <w:color w:val="111111"/>
          <w:sz w:val="25"/>
        </w:rPr>
        <w:t>I. Staff communication and adoption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Issue the Brand Quick Reference to all staff and identify where current masters are stored.</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Share the Brand in Practice Appendix as the everyday do/do-not reference.</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Brief staff on the rule: start with the approved template, not a previous client document.</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Managers</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Explain when Managing Partner, marketing lead and subject-matter expert approval is required.</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 / MP</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Provide a simple method for staff to report missing templates, broken formatting or uncertain brand applications.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bl>
    <w:p>
      <w:pPr>
        <w:spacing w:after="40"/>
      </w:pPr>
    </w:p>
    <w:p>
      <w:pPr>
        <w:keepNext/>
        <w:spacing w:before="160" w:after="80" w:line="240" w:lineRule="auto"/>
      </w:pPr>
      <w:r>
        <w:rPr>
          <w:rFonts w:ascii="Gilroy" w:hAnsi="Gilroy" w:eastAsia="Gilroy"/>
          <w:b/>
          <w:i w:val="0"/>
          <w:color w:val="111111"/>
          <w:sz w:val="25"/>
        </w:rPr>
        <w:t>J. Retire legacy assets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Archive all superseded versions not listed in the approved master set.</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Remove old templates from shared desktop shortcuts, Teams/SharePoint/Drive folders and staff template menus where applicable.</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Remove legacy teal, sage, purple and competing accent-colour examples from active folders.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Retain historical files only in a clearly labelled archive; do not delete records that must be retained for operational or legal reasons.</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Records</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Go-live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Confirm staff can no longer accidentally select an older proposal, presentation, recruitment or social master.</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IT / 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Post go-live</w:t>
            </w:r>
          </w:p>
        </w:tc>
      </w:tr>
    </w:tbl>
    <w:p>
      <w:pPr>
        <w:spacing w:after="40"/>
      </w:pPr>
    </w:p>
    <w:p>
      <w:pPr>
        <w:keepNext/>
        <w:spacing w:before="160" w:after="80" w:line="240" w:lineRule="auto"/>
      </w:pPr>
      <w:r>
        <w:rPr>
          <w:rFonts w:ascii="Gilroy" w:hAnsi="Gilroy" w:eastAsia="Gilroy"/>
          <w:b/>
          <w:i w:val="0"/>
          <w:color w:val="111111"/>
          <w:sz w:val="25"/>
        </w:rPr>
        <w:t>K. Quality assurance and review cycle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08"/>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Action</w:t>
            </w:r>
          </w:p>
        </w:tc>
        <w:tc>
          <w:tcPr>
            <w:tcW w:type="dxa" w:w="172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Target</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Complete a 30-day spot check of live letters, proposals, reports, presentations, social posts and recruitment materials.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30 days</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Correct recurring issues in the master template or instructions rather than relying on repeated manual fixes.</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As found</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Track adoption of approved templates and recurring accessibility/consistency issues.</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Ongoing</w:t>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Review the Brand Guide formally once each year and update only for meaningful changes to strategy, services or the visual system.</w:t>
            </w:r>
          </w:p>
        </w:tc>
        <w:tc>
          <w:tcPr>
            <w:tcW w:type="dxa" w:w="172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MP / Marketing</w:t>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Annual</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08"/>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Complete the Brand Governance and Asset Register after permanent server locations are established.</w:t>
            </w:r>
          </w:p>
        </w:tc>
        <w:tc>
          <w:tcPr>
            <w:tcW w:type="dxa" w:w="172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Marketing</w:t>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t>After storage</w:t>
            </w:r>
          </w:p>
        </w:tc>
      </w:tr>
    </w:tbl>
    <w:p>
      <w:pPr>
        <w:spacing w:after="40"/>
      </w:pPr>
    </w:p>
    <w:p>
      <w:pPr>
        <w:keepNext/>
        <w:spacing w:before="200" w:after="140" w:line="240" w:lineRule="auto"/>
        <w:pBdr>
          <w:bottom w:val="single" w:sz="10" w:space="4" w:color="B58A2C"/>
        </w:pBdr>
      </w:pPr>
      <w:r>
        <w:rPr>
          <w:rFonts w:ascii="Arial" w:hAnsi="Arial" w:eastAsia="Arial"/>
          <w:b/>
          <w:i w:val="0"/>
          <w:color w:val="B58A2C"/>
          <w:sz w:val="20"/>
        </w:rPr>
        <w:t xml:space="preserve">05  </w:t>
      </w:r>
      <w:r>
        <w:rPr>
          <w:rFonts w:ascii="Gilroy" w:hAnsi="Gilroy" w:eastAsia="Gilroy"/>
          <w:b/>
          <w:i w:val="0"/>
          <w:color w:val="111111"/>
          <w:sz w:val="36"/>
        </w:rPr>
        <w:t>Approved master set — deployment manifest</w:t>
      </w:r>
    </w:p>
    <w:p>
      <w:pPr>
        <w:spacing w:before="0" w:after="120" w:line="264" w:lineRule="auto"/>
        <w:jc w:val="both"/>
      </w:pPr>
      <w:r>
        <w:rPr>
          <w:rFonts w:ascii="Arial" w:hAnsi="Arial" w:eastAsia="Arial"/>
          <w:b w:val="0"/>
          <w:i w:val="0"/>
          <w:color w:val="111111"/>
          <w:sz w:val="20"/>
        </w:rPr>
        <w:t>Use this page as the rollout manifest. Check each family only after the approved source file has been placed in the controlled repository and any superseded versions have been moved out of active circulation. Permanent links belong in the later Brand Governance and Asset Register, not in this checklist.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111111" w:val="clear"/>
            <w:tcMar>
              <w:top w:w="90" w:type="dxa"/>
              <w:start w:w="100" w:type="dxa"/>
              <w:bottom w:w="90" w:type="dxa"/>
              <w:end w:w="100" w:type="dxa"/>
            </w:tcMar>
            <w:tcBorders>
              <w:bottom w:val="single" w:sz="8" w:color="B58A2C"/>
            </w:tcBorders>
          </w:tcPr>
          <w:p>
            <w:pPr>
              <w:spacing w:before="0" w:after="0" w:line="240" w:lineRule="auto"/>
              <w:jc w:val="left"/>
            </w:pPr>
            <w:r>
              <w:rPr>
                <w:rFonts w:ascii="Arial" w:hAnsi="Arial" w:eastAsia="Arial"/>
                <w:b/>
                <w:i w:val="0"/>
                <w:color w:val="FFFFFF"/>
                <w:sz w:val="17"/>
              </w:rPr>
              <w:t>Asset family</w:t>
            </w:r>
          </w:p>
        </w:tc>
        <w:tc>
          <w:tcPr>
            <w:tcW w:type="dxa" w:w="5616"/>
            <w:shd w:fill="111111" w:val="clear"/>
            <w:tcMar>
              <w:top w:w="90" w:type="dxa"/>
              <w:start w:w="100" w:type="dxa"/>
              <w:bottom w:w="90" w:type="dxa"/>
              <w:end w:w="100" w:type="dxa"/>
            </w:tcMar>
            <w:tcBorders>
              <w:bottom w:val="single" w:sz="8" w:color="B58A2C"/>
            </w:tcBorders>
          </w:tcPr>
          <w:p>
            <w:pPr>
              <w:spacing w:before="0" w:after="0" w:line="240" w:lineRule="auto"/>
              <w:jc w:val="left"/>
            </w:pPr>
            <w:r>
              <w:rPr>
                <w:rFonts w:ascii="Arial" w:hAnsi="Arial" w:eastAsia="Arial"/>
                <w:b/>
                <w:i w:val="0"/>
                <w:color w:val="FFFFFF"/>
                <w:sz w:val="17"/>
              </w:rPr>
              <w:t>Approved master(s)</w:t>
            </w:r>
          </w:p>
        </w:tc>
        <w:tc>
          <w:tcPr>
            <w:tcW w:type="dxa" w:w="1440"/>
            <w:shd w:fill="111111" w:val="clear"/>
            <w:tcMar>
              <w:top w:w="90" w:type="dxa"/>
              <w:start w:w="100" w:type="dxa"/>
              <w:bottom w:w="90" w:type="dxa"/>
              <w:end w:w="100" w:type="dxa"/>
            </w:tcMar>
            <w:tcBorders>
              <w:bottom w:val="single" w:sz="8" w:color="B58A2C"/>
            </w:tcBorders>
          </w:tcPr>
          <w:p>
            <w:pPr>
              <w:spacing w:before="0" w:after="0" w:line="240" w:lineRule="auto"/>
              <w:jc w:val="center"/>
            </w:pPr>
            <w:r>
              <w:rPr>
                <w:rFonts w:ascii="Arial" w:hAnsi="Arial" w:eastAsia="Arial"/>
                <w:b/>
                <w:i w:val="0"/>
                <w:color w:val="FFFFFF"/>
                <w:sz w:val="17"/>
              </w:rPr>
              <w:t>Deploy</w:t>
            </w:r>
          </w:p>
        </w:tc>
      </w:tr>
      <w:tr>
        <w:trPr>
          <w:cantSplit/>
        </w:trPr>
        <w:tc>
          <w:tcPr>
            <w:tcW w:type="dxa" w:w="3024"/>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Brand control</w:t>
            </w:r>
          </w:p>
        </w:tc>
        <w:tc>
          <w:tcPr>
            <w:tcW w:type="dxa" w:w="5616"/>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Brand Guide v2 — Justified; Brand Quick Reference — Prairie Gold; Brand in Practice Appendix v1</w:t>
            </w:r>
          </w:p>
        </w:tc>
        <w:tc>
          <w:tcPr>
            <w:tcW w:type="dxa" w:w="1440"/>
            <w:shd w:fill="FFFFFF"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Letter</w:t>
            </w:r>
          </w:p>
        </w:tc>
        <w:tc>
          <w:tcPr>
            <w:tcW w:type="dxa" w:w="5616"/>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Letter Standard v1; Two-Page Letter Template v4</w:t>
            </w:r>
          </w:p>
        </w:tc>
        <w:tc>
          <w:tcPr>
            <w:tcW w:type="dxa" w:w="1440"/>
            <w:shd w:fill="F7F5F0"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Memo</w:t>
            </w:r>
          </w:p>
        </w:tc>
        <w:tc>
          <w:tcPr>
            <w:tcW w:type="dxa" w:w="5616"/>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Memo Standard v1; Memo Template v2</w:t>
            </w:r>
          </w:p>
        </w:tc>
        <w:tc>
          <w:tcPr>
            <w:tcW w:type="dxa" w:w="1440"/>
            <w:shd w:fill="FFFFFF"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Proposal</w:t>
            </w:r>
          </w:p>
        </w:tc>
        <w:tc>
          <w:tcPr>
            <w:tcW w:type="dxa" w:w="5616"/>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Proposal Standard v2 — Prairie Gold; Proposal Template v3 — Black Cover; Proposal-at-a-Glance Template v2 — Dark Prairie Gold</w:t>
            </w:r>
          </w:p>
        </w:tc>
        <w:tc>
          <w:tcPr>
            <w:tcW w:type="dxa" w:w="1440"/>
            <w:shd w:fill="F7F5F0"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Client handout</w:t>
            </w:r>
          </w:p>
        </w:tc>
        <w:tc>
          <w:tcPr>
            <w:tcW w:type="dxa" w:w="5616"/>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One-Page Client Handout Standard v2 — Prairie Gold; One-Page Client Handout Template v2 — Dark Prairie Gold; Working with Janke LLP v3 — Dark</w:t>
            </w:r>
          </w:p>
        </w:tc>
        <w:tc>
          <w:tcPr>
            <w:tcW w:type="dxa" w:w="1440"/>
            <w:shd w:fill="FFFFFF"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Recruitment</w:t>
            </w:r>
          </w:p>
        </w:tc>
        <w:tc>
          <w:tcPr>
            <w:tcW w:type="dxa" w:w="5616"/>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Recruitment Posting Standard v2 — Prairie Gold; Recruitment Posting Template v2 — Prairie Gold</w:t>
            </w:r>
          </w:p>
        </w:tc>
        <w:tc>
          <w:tcPr>
            <w:tcW w:type="dxa" w:w="1440"/>
            <w:shd w:fill="F7F5F0"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Advisory report</w:t>
            </w:r>
          </w:p>
        </w:tc>
        <w:tc>
          <w:tcPr>
            <w:tcW w:type="dxa" w:w="5616"/>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Advisory Report Standard v2 — Prairie Gold; Advisory Report Template v2 — Word; Advisory Report Template v2 — Excel</w:t>
            </w:r>
          </w:p>
        </w:tc>
        <w:tc>
          <w:tcPr>
            <w:tcW w:type="dxa" w:w="1440"/>
            <w:shd w:fill="FFFFFF"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Social media</w:t>
            </w:r>
          </w:p>
        </w:tc>
        <w:tc>
          <w:tcPr>
            <w:tcW w:type="dxa" w:w="5616"/>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Social Media Post Standard v2 — Prairie Gold; Social Media Post Template v2 — Prairie Gold; Sample Social Media Posts v2 — Prairie Gold</w:t>
            </w:r>
          </w:p>
        </w:tc>
        <w:tc>
          <w:tcPr>
            <w:tcW w:type="dxa" w:w="1440"/>
            <w:shd w:fill="F7F5F0"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Client stories</w:t>
            </w:r>
          </w:p>
        </w:tc>
        <w:tc>
          <w:tcPr>
            <w:tcW w:type="dxa" w:w="5616"/>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Client Testimonial and Case Study Standard v2 — Prairie Gold; Template v2 — Prairie Gold</w:t>
            </w:r>
          </w:p>
        </w:tc>
        <w:tc>
          <w:tcPr>
            <w:tcW w:type="dxa" w:w="1440"/>
            <w:shd w:fill="FFFFFF"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PowerPoint</w:t>
            </w:r>
          </w:p>
        </w:tc>
        <w:tc>
          <w:tcPr>
            <w:tcW w:type="dxa" w:w="5616"/>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PowerPoint Standard v6 — Dark Prairie Gold; PowerPoint Template v6 — Dark Prairie Gold</w:t>
            </w:r>
          </w:p>
        </w:tc>
        <w:tc>
          <w:tcPr>
            <w:tcW w:type="dxa" w:w="1440"/>
            <w:shd w:fill="F7F5F0"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Email</w:t>
            </w:r>
          </w:p>
        </w:tc>
        <w:tc>
          <w:tcPr>
            <w:tcW w:type="dxa" w:w="5616"/>
            <w:shd w:fill="FFFFFF"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Email Signature and Email Formatting Standard v1; Email Signature Template v1</w:t>
            </w:r>
          </w:p>
        </w:tc>
        <w:tc>
          <w:tcPr>
            <w:tcW w:type="dxa" w:w="1440"/>
            <w:shd w:fill="FFFFFF"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r>
        <w:trPr>
          <w:cantSplit/>
        </w:trPr>
        <w:tc>
          <w:tcPr>
            <w:tcW w:type="dxa" w:w="3024"/>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i w:val="0"/>
                <w:color w:val="111111"/>
                <w:sz w:val="16"/>
              </w:rPr>
              <w:t>Audit / rollout</w:t>
            </w:r>
          </w:p>
        </w:tc>
        <w:tc>
          <w:tcPr>
            <w:tcW w:type="dxa" w:w="5616"/>
            <w:shd w:fill="F7F5F0" w:val="clear"/>
            <w:tcMar>
              <w:top w:w="75" w:type="dxa"/>
              <w:start w:w="95" w:type="dxa"/>
              <w:bottom w:w="75" w:type="dxa"/>
              <w:end w:w="95" w:type="dxa"/>
            </w:tcMar>
            <w:vAlign w:val="center"/>
            <w:tcBorders>
              <w:bottom w:val="single" w:sz="2" w:color="DDDAD4"/>
            </w:tcBorders>
          </w:tcPr>
          <w:p>
            <w:pPr>
              <w:spacing w:before="0" w:after="0" w:line="245" w:lineRule="auto"/>
            </w:pPr>
            <w:r>
              <w:rPr>
                <w:rFonts w:ascii="Arial" w:hAnsi="Arial" w:eastAsia="Arial"/>
                <w:b w:val="0"/>
                <w:i w:val="0"/>
                <w:color w:val="666666"/>
                <w:sz w:val="15"/>
              </w:rPr>
              <w:t>Template Colour Audit v1; Brand Rollout and Implementation Checklist v1</w:t>
            </w:r>
          </w:p>
        </w:tc>
        <w:tc>
          <w:tcPr>
            <w:tcW w:type="dxa" w:w="1440"/>
            <w:shd w:fill="F7F5F0" w:val="clear"/>
            <w:tcMar>
              <w:top w:w="75" w:type="dxa"/>
              <w:start w:w="95" w:type="dxa"/>
              <w:bottom w:w="75" w:type="dxa"/>
              <w:end w:w="95" w:type="dxa"/>
            </w:tcMar>
            <w:vAlign w:val="center"/>
            <w:tcBorders>
              <w:bottom w:val="single" w:sz="2" w:color="DDDAD4"/>
            </w:tcBorders>
          </w:tcPr>
          <w:p>
            <w:pPr>
              <w:spacing w:before="0" w:after="0" w:line="240" w:lineRule="auto"/>
              <w:jc w:val="center"/>
            </w:pPr>
            <w:r>
              <w:rPr>
                <w:rFonts w:ascii="Arial" w:hAnsi="Arial" w:eastAsia="Arial"/>
                <w:b w:val="0"/>
                <w:i w:val="0"/>
                <w:color w:val="B58A2C"/>
                <w:sz w:val="22"/>
              </w:rPr>
              <w:t>☐</w:t>
            </w:r>
          </w:p>
        </w:tc>
      </w:tr>
    </w:tbl>
    <w:tbl>
      <w:tblPr>
        <w:tblW w:type="auto" w:w="0"/>
        <w:jc w:val="center"/>
        <w:tblLayout w:type="fixed"/>
        <w:tblLook w:firstColumn="1" w:firstRow="1" w:lastColumn="0" w:lastRow="0" w:noHBand="0" w:noVBand="1" w:val="04A0"/>
      </w:tblPr>
      <w:tblGrid>
        <w:gridCol w:w="9994"/>
      </w:tblGrid>
      <w:tr>
        <w:trPr>
          <w:cantSplit/>
        </w:trPr>
        <w:tc>
          <w:tcPr>
            <w:tcW w:type="dxa" w:w="9648"/>
            <w:tcMar>
              <w:top w:w="150" w:type="dxa"/>
              <w:start w:w="180" w:type="dxa"/>
              <w:bottom w:w="150" w:type="dxa"/>
              <w:end w:w="180" w:type="dxa"/>
            </w:tcMar>
            <w:shd w:fill="F7F5F0" w:val="clear"/>
            <w:tcBorders>
              <w:top w:val="single" w:sz="10" w:color="B58A2C"/>
              <w:bottom w:val="single" w:sz="4" w:color="E8E5DE"/>
            </w:tcBorders>
          </w:tcPr>
          <w:p>
            <w:pPr>
              <w:spacing w:before="0" w:after="80" w:line="240" w:lineRule="auto"/>
            </w:pPr>
            <w:r>
              <w:rPr>
                <w:rFonts w:ascii="Gilroy" w:hAnsi="Gilroy" w:eastAsia="Gilroy"/>
                <w:b/>
                <w:i w:val="0"/>
                <w:color w:val="B58A2C"/>
                <w:sz w:val="18"/>
              </w:rPr>
              <w:t>DEFERRED CONTROL DOCUMENT</w:t>
            </w:r>
          </w:p>
          <w:p>
            <w:pPr>
              <w:spacing w:before="0" w:after="0" w:line="259" w:lineRule="auto"/>
            </w:pPr>
            <w:r>
              <w:rPr>
                <w:rFonts w:ascii="Arial" w:hAnsi="Arial" w:eastAsia="Arial"/>
                <w:b w:val="0"/>
                <w:i w:val="0"/>
                <w:color w:val="111111"/>
                <w:sz w:val="20"/>
              </w:rPr>
              <w:t>Brand Governance and Asset Register — complete only after permanent server storage is established. Record permanent links, file owners, version numbers, approval dates, access permissions and review dates at that time.</w:t>
            </w:r>
          </w:p>
        </w:tc>
      </w:tr>
    </w:tbl>
    <w:p>
      <w:pPr>
        <w:spacing w:after="20"/>
      </w:pPr>
    </w:p>
    <w:p>
      <w:pPr>
        <w:keepNext/>
        <w:spacing w:before="160" w:after="80" w:line="240" w:lineRule="auto"/>
      </w:pPr>
      <w:r>
        <w:rPr>
          <w:rFonts w:ascii="Gilroy" w:hAnsi="Gilroy" w:eastAsia="Gilroy"/>
          <w:b/>
          <w:i w:val="0"/>
          <w:color w:val="111111"/>
          <w:sz w:val="25"/>
        </w:rPr>
        <w:t>Implementation sign-off</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4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r>
          </w:p>
        </w:tc>
        <w:tc>
          <w:tcPr>
            <w:tcW w:type="dxa" w:w="6480"/>
            <w:shd w:fill="111111" w:val="clear"/>
            <w:tcMar>
              <w:top w:w="90" w:type="dxa"/>
              <w:start w:w="100" w:type="dxa"/>
              <w:bottom w:w="90" w:type="dxa"/>
              <w:end w:w="100" w:type="dxa"/>
            </w:tcMar>
            <w:vAlign w:val="center"/>
            <w:tcBorders>
              <w:bottom w:val="single" w:sz="8" w:color="B58A2C"/>
            </w:tcBorders>
          </w:tcPr>
          <w:p>
            <w:pPr>
              <w:spacing w:before="0" w:after="0" w:line="240" w:lineRule="auto"/>
              <w:jc w:val="left"/>
            </w:pPr>
            <w:r>
              <w:rPr>
                <w:rFonts w:ascii="Arial" w:hAnsi="Arial" w:eastAsia="Arial"/>
                <w:b/>
                <w:i w:val="0"/>
                <w:color w:val="FFFFFF"/>
                <w:sz w:val="17"/>
              </w:rPr>
              <w:t>Completion checkpoint</w:t>
            </w:r>
          </w:p>
        </w:tc>
        <w:tc>
          <w:tcPr>
            <w:tcW w:type="dxa" w:w="1655"/>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Owner</w:t>
            </w:r>
          </w:p>
        </w:tc>
        <w:tc>
          <w:tcPr>
            <w:tcW w:type="dxa" w:w="1368"/>
            <w:shd w:fill="111111" w:val="clear"/>
            <w:tcMar>
              <w:top w:w="90" w:type="dxa"/>
              <w:start w:w="100" w:type="dxa"/>
              <w:bottom w:w="90" w:type="dxa"/>
              <w:end w:w="100" w:type="dxa"/>
            </w:tcMar>
            <w:vAlign w:val="center"/>
            <w:tcBorders>
              <w:bottom w:val="single" w:sz="8" w:color="B58A2C"/>
            </w:tcBorders>
          </w:tcPr>
          <w:p>
            <w:pPr>
              <w:spacing w:before="0" w:after="0" w:line="240" w:lineRule="auto"/>
              <w:jc w:val="center"/>
            </w:pPr>
            <w:r>
              <w:rPr>
                <w:rFonts w:ascii="Arial" w:hAnsi="Arial" w:eastAsia="Arial"/>
                <w:b/>
                <w:i w:val="0"/>
                <w:color w:val="FFFFFF"/>
                <w:sz w:val="17"/>
              </w:rPr>
              <w:t>Date</w:t>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All approved masters are stored in the controlled repository.</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Superseded active templates have been archived or removed from normal staff access.</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Staff have received the Quick Reference, Brand in Practice guidance and repository location.</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r>
      <w:tr>
        <w:trPr>
          <w:cantSplit/>
        </w:trPr>
        <w:tc>
          <w:tcPr>
            <w:tcW w:type="dxa" w:w="648"/>
            <w:shd w:fill="F7F5F0"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7F5F0"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Initial live-output quality checks are complete.</w:t>
            </w:r>
          </w:p>
        </w:tc>
        <w:tc>
          <w:tcPr>
            <w:tcW w:type="dxa" w:w="1655"/>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c>
          <w:tcPr>
            <w:tcW w:type="dxa" w:w="1368"/>
            <w:shd w:fill="F7F5F0"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r>
      <w:tr>
        <w:trPr>
          <w:cantSplit/>
        </w:trPr>
        <w:tc>
          <w:tcPr>
            <w:tcW w:type="dxa" w:w="648"/>
            <w:shd w:fill="FFFFFF" w:val="clear"/>
            <w:tcMar>
              <w:top w:w="95" w:type="dxa"/>
              <w:start w:w="110" w:type="dxa"/>
              <w:bottom w:w="95" w:type="dxa"/>
              <w:end w:w="110" w:type="dxa"/>
            </w:tcMar>
            <w:vAlign w:val="center"/>
            <w:tcBorders>
              <w:bottom w:val="single" w:sz="2" w:color="DDDAD4"/>
            </w:tcBorders>
          </w:tcPr>
          <w:p>
            <w:pPr>
              <w:spacing w:before="0" w:after="0" w:line="240" w:lineRule="auto"/>
              <w:jc w:val="center"/>
            </w:pPr>
            <w:r>
              <w:rPr>
                <w:rFonts w:ascii="Arial" w:hAnsi="Arial" w:eastAsia="Arial"/>
                <w:b w:val="0"/>
                <w:i w:val="0"/>
                <w:color w:val="B58A2C"/>
                <w:sz w:val="24"/>
              </w:rPr>
              <w:t>☐</w:t>
            </w:r>
          </w:p>
        </w:tc>
        <w:tc>
          <w:tcPr>
            <w:tcW w:type="dxa" w:w="6480"/>
            <w:shd w:fill="FFFFFF" w:val="clear"/>
            <w:tcMar>
              <w:top w:w="95" w:type="dxa"/>
              <w:start w:w="110" w:type="dxa"/>
              <w:bottom w:w="95" w:type="dxa"/>
              <w:end w:w="110" w:type="dxa"/>
            </w:tcMar>
            <w:vAlign w:val="center"/>
            <w:tcBorders>
              <w:bottom w:val="single" w:sz="2" w:color="DDDAD4"/>
            </w:tcBorders>
          </w:tcPr>
          <w:p>
            <w:pPr>
              <w:spacing w:before="0" w:after="0" w:line="252" w:lineRule="auto"/>
            </w:pPr>
            <w:r>
              <w:rPr>
                <w:rFonts w:ascii="Arial" w:hAnsi="Arial" w:eastAsia="Arial"/>
                <w:b w:val="0"/>
                <w:i w:val="0"/>
                <w:color w:val="111111"/>
                <w:sz w:val="18"/>
              </w:rPr>
              <w:t>The rollout owner and annual review responsibility are confirmed.</w:t>
            </w:r>
          </w:p>
        </w:tc>
        <w:tc>
          <w:tcPr>
            <w:tcW w:type="dxa" w:w="1655"/>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c>
          <w:tcPr>
            <w:tcW w:type="dxa" w:w="1368"/>
            <w:shd w:fill="FFFFFF" w:val="clear"/>
            <w:tcMar>
              <w:top w:w="95" w:type="dxa"/>
              <w:start w:w="110" w:type="dxa"/>
              <w:bottom w:w="95" w:type="dxa"/>
              <w:end w:w="110" w:type="dxa"/>
            </w:tcMar>
            <w:vAlign w:val="center"/>
            <w:tcBorders>
              <w:bottom w:val="single" w:sz="2" w:color="DDDAD4"/>
            </w:tcBorders>
          </w:tcPr>
          <w:p>
            <w:pPr>
              <w:spacing w:before="0" w:after="0" w:line="245" w:lineRule="auto"/>
              <w:jc w:val="center"/>
            </w:pPr>
            <w:r>
              <w:rPr>
                <w:rFonts w:ascii="Arial" w:hAnsi="Arial" w:eastAsia="Arial"/>
                <w:b w:val="0"/>
                <w:i w:val="0"/>
                <w:color w:val="666666"/>
                <w:sz w:val="16"/>
              </w:rPr>
            </w:r>
          </w:p>
        </w:tc>
      </w:tr>
    </w:tbl>
    <w:p>
      <w:pPr>
        <w:spacing w:after="40"/>
      </w:pPr>
    </w:p>
    <w:p>
      <w:pPr>
        <w:spacing w:before="160" w:after="40"/>
      </w:pPr>
      <w:r>
        <w:rPr>
          <w:rFonts w:ascii="Gilroy" w:hAnsi="Gilroy" w:eastAsia="Gilroy"/>
          <w:b/>
          <w:i w:val="0"/>
          <w:color w:val="111111"/>
          <w:sz w:val="23"/>
        </w:rPr>
        <w:t>Approval</w:t>
      </w:r>
    </w:p>
    <w:p>
      <w:pPr>
        <w:spacing w:before="0" w:after="40" w:line="240" w:lineRule="auto"/>
      </w:pPr>
      <w:r>
        <w:rPr>
          <w:rFonts w:ascii="Arial" w:hAnsi="Arial" w:eastAsia="Arial"/>
          <w:b w:val="0"/>
          <w:i w:val="0"/>
          <w:color w:val="111111"/>
          <w:sz w:val="19"/>
        </w:rPr>
        <w:t>Approved by: ______________________________     Date: __________________</w:t>
      </w:r>
    </w:p>
    <w:p>
      <w:pPr>
        <w:spacing w:before="0" w:after="0" w:line="240" w:lineRule="auto"/>
      </w:pPr>
      <w:r>
        <w:rPr>
          <w:rFonts w:ascii="Arial" w:hAnsi="Arial" w:eastAsia="Arial"/>
          <w:b w:val="0"/>
          <w:i w:val="0"/>
          <w:color w:val="111111"/>
          <w:sz w:val="19"/>
        </w:rPr>
        <w:t>Rollout owner: _____________________________     Annual review month: __________</w:t>
      </w:r>
    </w:p>
    <w:sectPr w:rsidR="00FC693F" w:rsidRPr="0006063C" w:rsidSect="00034616">
      <w:headerReference w:type="first" r:id="rId9"/>
      <w:headerReference w:type="default" r:id="rId10"/>
      <w:footerReference w:type="default" r:id="rId11"/>
      <w:pgSz w:w="12240" w:h="15840"/>
      <w:pgMar w:top="1037" w:right="1123" w:bottom="979" w:left="1123" w:header="36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Arial" w:hAnsi="Arial" w:eastAsia="Arial"/>
        <w:b w:val="0"/>
        <w:i w:val="0"/>
        <w:color w:val="666666"/>
        <w:sz w:val="15"/>
      </w:rPr>
      <w:t>Janke LLP  |  Brand Rollout and Implementation Checklist</w:t>
    </w:r>
    <w:r>
      <w:rPr>
        <w:rFonts w:ascii="Arial" w:hAnsi="Arial" w:eastAsia="Arial"/>
        <w:b w:val="0"/>
        <w:i w:val="0"/>
        <w:color w:val="666666"/>
        <w:sz w:val="15"/>
      </w:rPr>
      <w:t xml:space="preserve">     </w:t>
    </w:r>
    <w:r>
      <w:rPr>
        <w:rFonts w:ascii="Arial" w:hAnsi="Arial" w:eastAsia="Arial"/>
        <w:b w:val="0"/>
        <w:i w:val="0"/>
        <w:color w:val="666666"/>
        <w:sz w:val="15"/>
      </w:rPr>
      <w:t xml:space="preserve">Page </w:t>
    </w:r>
    <w:r>
      <w:rPr>
        <w:rFonts w:ascii="Arial" w:hAnsi="Arial" w:eastAsia="Arial"/>
        <w:b w:val="0"/>
        <w:i w:val="0"/>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rect id="CoverBackground" style="position:absolute;margin-left:0;margin-top:0;width:612pt;height:792pt;z-index:-251654144;mso-position-horizontal:absolute;mso-position-horizontal-relative:page;mso-position-vertical:absolute;mso-position-vertical-relative:page" fillcolor="#111111" stroked="f"/>
      </w:pict>
    </w:r>
  </w:p>
  <w:p>
    <w:pPr>
      <w:spacing w:before="120" w:after="0"/>
      <w:jc w:val="right"/>
    </w:pPr>
    <w:r>
      <w:drawing>
        <wp:inline xmlns:a="http://schemas.openxmlformats.org/drawingml/2006/main" xmlns:pic="http://schemas.openxmlformats.org/drawingml/2006/picture">
          <wp:extent cx="1691640" cy="432005"/>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691640" cy="432005"/>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8" w:space="3" w:color="B58A2C"/>
      </w:pBdr>
    </w:pPr>
    <w:r>
      <w:rPr>
        <w:rFonts w:ascii="Gilroy" w:hAnsi="Gilroy" w:eastAsia="Gilroy"/>
        <w:b/>
        <w:i w:val="0"/>
        <w:color w:val="111111"/>
        <w:sz w:val="18"/>
      </w:rPr>
      <w:t>JANKE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ilroy" w:hAnsi="Gilroy" w:eastAsia="Gilro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ilroy" w:hAnsi="Gilroy" w:eastAsia="Gilro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Brand Rollout and Implementation Checklist</dc:title>
  <dc:subject>Brand rollout and implementation checklist</dc:subject>
  <dc:creator>Janke LLP</dc:creator>
  <cp:keywords>Janke LLP, brand, rollout, implementation, checklist, Prairie Gold</cp:keywords>
  <dc:description>generated by python-docx</dc:description>
  <cp:lastModifiedBy/>
  <cp:revision>1</cp:revision>
  <dcterms:created xsi:type="dcterms:W3CDTF">2013-12-23T23:15:00Z</dcterms:created>
  <dcterms:modified xsi:type="dcterms:W3CDTF">2013-12-23T23:15:00Z</dcterms:modified>
  <cp:category/>
</cp:coreProperties>
</file>