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JANKE LLP BRAND SYSTEM</w:t>
      </w:r>
    </w:p>
    <w:p>
      <w:pPr>
        <w:pStyle w:val="Title"/>
      </w:pPr>
      <w:r>
        <w:t>Email Signature and</w:t>
        <w:br/>
        <w:t>Email Formatting Standard</w:t>
      </w:r>
    </w:p>
    <w:p>
      <w:pPr>
        <w:pStyle w:val="Subtitle"/>
      </w:pPr>
      <w:r>
        <w:t>Black-and-white signature system | Outlook, Gmail, mobile and plain text</w:t>
      </w:r>
    </w:p>
    <w:p>
      <w:pPr>
        <w:spacing w:before="360"/>
        <w:jc w:val="right"/>
      </w:pPr>
      <w:r>
        <w:drawing>
          <wp:inline xmlns:a="http://schemas.openxmlformats.org/drawingml/2006/main" xmlns:pic="http://schemas.openxmlformats.org/drawingml/2006/picture">
            <wp:extent cx="2971800" cy="758927"/>
            <wp:docPr id="1" name="Picture 1"/>
            <wp:cNvGraphicFramePr>
              <a:graphicFrameLocks noChangeAspect="1"/>
            </wp:cNvGraphicFramePr>
            <a:graphic>
              <a:graphicData uri="http://schemas.openxmlformats.org/drawingml/2006/picture">
                <pic:pic>
                  <pic:nvPicPr>
                    <pic:cNvPr id="0" name="extracted_logo_2.png"/>
                    <pic:cNvPicPr/>
                  </pic:nvPicPr>
                  <pic:blipFill>
                    <a:blip r:embed="rId9"/>
                    <a:stretch>
                      <a:fillRect/>
                    </a:stretch>
                  </pic:blipFill>
                  <pic:spPr>
                    <a:xfrm>
                      <a:off x="0" y="0"/>
                      <a:ext cx="2971800" cy="758927"/>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10080"/>
            <w:shd w:fill="F2F2F2"/>
            <w:tcMar>
              <w:top w:w="120" w:type="dxa"/>
              <w:start w:w="150" w:type="dxa"/>
              <w:bottom w:w="120" w:type="dxa"/>
              <w:end w:w="150" w:type="dxa"/>
            </w:tcMar>
          </w:tcPr>
          <w:p>
            <w:pPr>
              <w:spacing w:after="0"/>
            </w:pPr>
            <w:r>
              <w:rPr>
                <w:rFonts w:ascii="Arial" w:hAnsi="Arial"/>
                <w:color w:val="464646"/>
                <w:sz w:val="18"/>
              </w:rPr>
              <w:t>Purpose: ensure every Janke LLP email is readable, consistent, professional and resilient across devices, email clients, dark mode and forwarded message chains.</w:t>
            </w:r>
          </w:p>
        </w:tc>
      </w:tr>
    </w:tbl>
    <w:p>
      <w:pPr>
        <w:pStyle w:val="Heading1"/>
      </w:pPr>
      <w:r>
        <w:t>Core decision</w:t>
      </w:r>
    </w:p>
    <w:p>
      <w:pPr>
        <w:pStyle w:val="ListBullet"/>
        <w:spacing w:after="60"/>
      </w:pPr>
      <w:r>
        <w:t>The approved email signature remains black and white.</w:t>
      </w:r>
    </w:p>
    <w:p>
      <w:pPr>
        <w:pStyle w:val="ListBullet"/>
        <w:spacing w:after="60"/>
      </w:pPr>
      <w:r>
        <w:t>Arial is the standard email typeface. Gilroy is not required in email because recipient systems may not have it installed.</w:t>
      </w:r>
    </w:p>
    <w:p>
      <w:pPr>
        <w:pStyle w:val="ListBullet"/>
        <w:spacing w:after="60"/>
      </w:pPr>
      <w:r>
        <w:t>The signature is compact, left aligned and designed to remain legible when images are blocked or dark mode is applied.</w:t>
      </w:r>
    </w:p>
    <w:p>
      <w:pPr>
        <w:pStyle w:val="ListBullet"/>
        <w:spacing w:after="60"/>
      </w:pPr>
      <w:r>
        <w:t>Prairie gold is not used in the signature. It remains available for presentations and selected marketing materials.</w:t>
      </w:r>
    </w:p>
    <w:p>
      <w:r>
        <w:br w:type="page"/>
      </w:r>
    </w:p>
    <w:p>
      <w:pPr>
        <w:pStyle w:val="SmallLabel"/>
      </w:pPr>
      <w:r>
        <w:t>1 | APPROVED SIGNATURE SYSTEM</w:t>
      </w:r>
    </w:p>
    <w:p>
      <w:pPr>
        <w:pStyle w:val="Heading1"/>
      </w:pPr>
      <w:r>
        <w:t>Required structure</w:t>
      </w:r>
    </w:p>
    <w:p>
      <w:r>
        <w:t>Use the following order. Do not add extra quotations, awards, social-media icons, promotional banners or seasonal graphics unless approved for a specific campaign.</w:t>
      </w:r>
    </w:p>
    <w:tbl>
      <w:tblPr>
        <w:tblW w:type="auto" w:w="0"/>
        <w:jc w:val="center"/>
        <w:tblLayout w:type="fixed"/>
        <w:tblLook w:firstColumn="1" w:firstRow="1" w:lastColumn="0" w:lastRow="0" w:noHBand="0" w:noVBand="1" w:val="04A0"/>
        <w:tblBorders>
          <w:top w:val="single" w:sz="5" w:color="B8B8B8"/>
          <w:left w:val="single" w:sz="5" w:color="B8B8B8"/>
          <w:bottom w:val="single" w:sz="5" w:color="B8B8B8"/>
          <w:right w:val="single" w:sz="5" w:color="B8B8B8"/>
          <w:insideH w:val="single" w:sz="5" w:color="B8B8B8"/>
          <w:insideV w:val="single" w:sz="5" w:color="B8B8B8"/>
        </w:tblBorders>
      </w:tblPr>
      <w:tblGrid>
        <w:gridCol w:w="4320"/>
        <w:gridCol w:w="5256"/>
      </w:tblGrid>
      <w:tr>
        <w:tc>
          <w:tcPr>
            <w:tcW w:type="dxa" w:w="5040"/>
            <w:tcMar>
              <w:top w:w="170" w:type="dxa"/>
              <w:start w:w="170" w:type="dxa"/>
              <w:bottom w:w="170" w:type="dxa"/>
              <w:end w:w="170" w:type="dxa"/>
            </w:tcMar>
            <w:vAlign w:val="center"/>
          </w:tcPr>
          <w:p>
            <w:pPr>
              <w:spacing w:after="40"/>
            </w:pPr>
            <w:r>
              <w:rPr>
                <w:rFonts w:ascii="Arial" w:hAnsi="Arial"/>
                <w:b/>
                <w:sz w:val="22"/>
              </w:rPr>
              <w:t>Scott Janke CPA, CA</w:t>
            </w:r>
          </w:p>
          <w:p>
            <w:pPr>
              <w:spacing w:after="20"/>
            </w:pPr>
            <w:r>
              <w:rPr>
                <w:rFonts w:ascii="Arial" w:hAnsi="Arial"/>
                <w:b w:val="0"/>
                <w:sz w:val="20"/>
              </w:rPr>
              <w:t>Managing Partner</w:t>
            </w:r>
          </w:p>
          <w:p>
            <w:pPr>
              <w:spacing w:after="20"/>
            </w:pPr>
            <w:r>
              <w:rPr>
                <w:rFonts w:ascii="Arial" w:hAnsi="Arial"/>
                <w:b w:val="0"/>
                <w:sz w:val="20"/>
              </w:rPr>
              <w:t>T: 306-873-4575</w:t>
            </w:r>
          </w:p>
          <w:p>
            <w:pPr>
              <w:spacing w:after="20"/>
            </w:pPr>
            <w:r>
              <w:rPr>
                <w:rFonts w:ascii="Arial" w:hAnsi="Arial"/>
                <w:b w:val="0"/>
                <w:sz w:val="20"/>
              </w:rPr>
              <w:t>E: scott.janke@janke.ca</w:t>
            </w:r>
          </w:p>
        </w:tc>
        <w:tc>
          <w:tcPr>
            <w:tcW w:type="dxa" w:w="5040"/>
            <w:tcMar>
              <w:top w:w="170" w:type="dxa"/>
              <w:start w:w="170" w:type="dxa"/>
              <w:bottom w:w="170" w:type="dxa"/>
              <w:end w:w="170" w:type="dxa"/>
            </w:tcMar>
            <w:vAlign w:val="center"/>
          </w:tcPr>
          <w:p>
            <w:pPr>
              <w:jc w:val="center"/>
            </w:pPr>
            <w:r>
              <w:drawing>
                <wp:inline xmlns:a="http://schemas.openxmlformats.org/drawingml/2006/main" xmlns:pic="http://schemas.openxmlformats.org/drawingml/2006/picture">
                  <wp:extent cx="2834640" cy="723900"/>
                  <wp:docPr id="2" name="Picture 2"/>
                  <wp:cNvGraphicFramePr>
                    <a:graphicFrameLocks noChangeAspect="1"/>
                  </wp:cNvGraphicFramePr>
                  <a:graphic>
                    <a:graphicData uri="http://schemas.openxmlformats.org/drawingml/2006/picture">
                      <pic:pic>
                        <pic:nvPicPr>
                          <pic:cNvPr id="0" name="extracted_logo_2.png"/>
                          <pic:cNvPicPr/>
                        </pic:nvPicPr>
                        <pic:blipFill>
                          <a:blip r:embed="rId9"/>
                          <a:stretch>
                            <a:fillRect/>
                          </a:stretch>
                        </pic:blipFill>
                        <pic:spPr>
                          <a:xfrm>
                            <a:off x="0" y="0"/>
                            <a:ext cx="2834640" cy="723900"/>
                          </a:xfrm>
                          <a:prstGeom prst="rect"/>
                        </pic:spPr>
                      </pic:pic>
                    </a:graphicData>
                  </a:graphic>
                </wp:inline>
              </w:drawing>
            </w:r>
          </w:p>
        </w:tc>
      </w:tr>
    </w:tbl>
    <w:p>
      <w:pPr>
        <w:pStyle w:val="SmallLabel"/>
      </w:pPr>
      <w:r>
        <w:t>APPROVED DISPLAY EXAMPLE</w:t>
      </w:r>
    </w:p>
    <w:p>
      <w:pPr>
        <w:pStyle w:val="Heading2"/>
      </w:pPr>
      <w:r>
        <w:t>Required fields</w:t>
      </w:r>
    </w:p>
    <w:p>
      <w:pPr>
        <w:pStyle w:val="ListBullet"/>
        <w:spacing w:after="60"/>
      </w:pPr>
      <w:r>
        <w:t>Full name and professional designation(s)</w:t>
      </w:r>
    </w:p>
    <w:p>
      <w:pPr>
        <w:pStyle w:val="ListBullet"/>
        <w:spacing w:after="60"/>
      </w:pPr>
      <w:r>
        <w:t>Current role title</w:t>
      </w:r>
    </w:p>
    <w:p>
      <w:pPr>
        <w:pStyle w:val="ListBullet"/>
        <w:spacing w:after="60"/>
      </w:pPr>
      <w:r>
        <w:t>Direct or primary telephone number</w:t>
      </w:r>
    </w:p>
    <w:p>
      <w:pPr>
        <w:pStyle w:val="ListBullet"/>
        <w:spacing w:after="60"/>
      </w:pPr>
      <w:r>
        <w:t>Individual Janke LLP email address</w:t>
      </w:r>
    </w:p>
    <w:p>
      <w:pPr>
        <w:pStyle w:val="ListBullet"/>
        <w:spacing w:after="60"/>
      </w:pPr>
      <w:r>
        <w:t>Approved Janke LLP logo image</w:t>
      </w:r>
    </w:p>
    <w:p>
      <w:pPr>
        <w:pStyle w:val="ListBullet"/>
        <w:spacing w:after="60"/>
      </w:pPr>
      <w:r>
        <w:t>Approved confidentiality notice</w:t>
      </w:r>
    </w:p>
    <w:p>
      <w:pPr>
        <w:pStyle w:val="Heading2"/>
      </w:pPr>
      <w:r>
        <w:t>Optional fields</w:t>
      </w:r>
    </w:p>
    <w:p>
      <w:pPr>
        <w:pStyle w:val="ListBullet"/>
        <w:spacing w:after="60"/>
      </w:pPr>
      <w:r>
        <w:t>Website address, if included firm-wide</w:t>
      </w:r>
    </w:p>
    <w:p>
      <w:pPr>
        <w:pStyle w:val="ListBullet"/>
        <w:spacing w:after="60"/>
      </w:pPr>
      <w:r>
        <w:t>Secondary office or mobile number where genuinely useful</w:t>
      </w:r>
    </w:p>
    <w:p>
      <w:pPr>
        <w:pStyle w:val="ListBullet"/>
        <w:spacing w:after="60"/>
      </w:pPr>
      <w:r>
        <w:t>Pronouns, when the employee elects to include them and formatting is applied consistently</w:t>
      </w:r>
    </w:p>
    <w:p>
      <w:pPr>
        <w:pStyle w:val="Heading2"/>
      </w:pPr>
      <w:r>
        <w:t>Do not include</w:t>
      </w:r>
    </w:p>
    <w:p>
      <w:pPr>
        <w:pStyle w:val="ListBullet"/>
        <w:spacing w:after="60"/>
      </w:pPr>
      <w:r>
        <w:t>Personal quotations or slogans</w:t>
      </w:r>
    </w:p>
    <w:p>
      <w:pPr>
        <w:pStyle w:val="ListBullet"/>
        <w:spacing w:after="60"/>
      </w:pPr>
      <w:r>
        <w:t>Unapproved social-media icons</w:t>
      </w:r>
    </w:p>
    <w:p>
      <w:pPr>
        <w:pStyle w:val="ListBullet"/>
        <w:spacing w:after="60"/>
      </w:pPr>
      <w:r>
        <w:t>Third-party badges or award graphics</w:t>
      </w:r>
    </w:p>
    <w:p>
      <w:pPr>
        <w:pStyle w:val="ListBullet"/>
        <w:spacing w:after="60"/>
      </w:pPr>
      <w:r>
        <w:t>Animated images</w:t>
      </w:r>
    </w:p>
    <w:p>
      <w:pPr>
        <w:pStyle w:val="ListBullet"/>
        <w:spacing w:after="60"/>
      </w:pPr>
      <w:r>
        <w:t>Oversized logos or promotional banners</w:t>
      </w:r>
    </w:p>
    <w:p>
      <w:pPr>
        <w:pStyle w:val="ListBullet"/>
        <w:spacing w:after="60"/>
      </w:pPr>
      <w:r>
        <w:t>Multiple accent colours</w:t>
      </w:r>
    </w:p>
    <w:p>
      <w:pPr>
        <w:pStyle w:val="ListBullet"/>
        <w:spacing w:after="60"/>
      </w:pPr>
      <w:r>
        <w:t>Client-specific or temporary notices in the permanent signature block</w:t>
      </w:r>
    </w:p>
    <w:p>
      <w:r>
        <w:br w:type="page"/>
      </w:r>
    </w:p>
    <w:p>
      <w:pPr>
        <w:pStyle w:val="SmallLabel"/>
      </w:pPr>
      <w:r>
        <w:t>2 | EMAIL TYPOGRAPHY AND FORMAT</w:t>
      </w:r>
    </w:p>
    <w:p>
      <w:pPr>
        <w:pStyle w:val="Heading1"/>
      </w:pPr>
      <w:r>
        <w:t>Email body formatting</w:t>
      </w:r>
    </w:p>
    <w:tbl>
      <w:tblPr>
        <w:tblW w:type="auto" w:w="0"/>
        <w:jc w:val="center"/>
        <w:tblLayout w:type="fixed"/>
        <w:tblLook w:firstColumn="1" w:firstRow="1" w:lastColumn="0" w:lastRow="0" w:noHBand="0" w:noVBand="1" w:val="04A0"/>
        <w:tblBorders>
          <w:top w:val="single" w:sz="4" w:color="C6C6C6"/>
          <w:left w:val="single" w:sz="4" w:color="C6C6C6"/>
          <w:bottom w:val="single" w:sz="4" w:color="C6C6C6"/>
          <w:right w:val="single" w:sz="4" w:color="C6C6C6"/>
          <w:insideH w:val="single" w:sz="4" w:color="C6C6C6"/>
          <w:insideV w:val="single" w:sz="4" w:color="C6C6C6"/>
        </w:tblBorders>
      </w:tblPr>
      <w:tblGrid>
        <w:gridCol w:w="1944"/>
        <w:gridCol w:w="2232"/>
        <w:gridCol w:w="5616"/>
      </w:tblGrid>
      <w:tr>
        <w:tc>
          <w:tcPr>
            <w:tcW w:type="dxa" w:w="3360"/>
            <w:shd w:fill="171717"/>
            <w:tcMar>
              <w:top w:w="90" w:type="dxa"/>
              <w:start w:w="110" w:type="dxa"/>
              <w:bottom w:w="90" w:type="dxa"/>
              <w:end w:w="110" w:type="dxa"/>
            </w:tcMar>
          </w:tcPr>
          <w:p>
            <w:r>
              <w:rPr>
                <w:rFonts w:ascii="Arial" w:hAnsi="Arial"/>
                <w:b/>
                <w:color w:val="FFFFFF"/>
                <w:sz w:val="18"/>
              </w:rPr>
              <w:t>Element</w:t>
            </w:r>
          </w:p>
        </w:tc>
        <w:tc>
          <w:tcPr>
            <w:tcW w:type="dxa" w:w="3360"/>
            <w:shd w:fill="171717"/>
            <w:tcMar>
              <w:top w:w="90" w:type="dxa"/>
              <w:start w:w="110" w:type="dxa"/>
              <w:bottom w:w="90" w:type="dxa"/>
              <w:end w:w="110" w:type="dxa"/>
            </w:tcMar>
          </w:tcPr>
          <w:p>
            <w:r>
              <w:rPr>
                <w:rFonts w:ascii="Arial" w:hAnsi="Arial"/>
                <w:b/>
                <w:color w:val="FFFFFF"/>
                <w:sz w:val="18"/>
              </w:rPr>
              <w:t>Standard</w:t>
            </w:r>
          </w:p>
        </w:tc>
        <w:tc>
          <w:tcPr>
            <w:tcW w:type="dxa" w:w="3360"/>
            <w:shd w:fill="171717"/>
            <w:tcMar>
              <w:top w:w="90" w:type="dxa"/>
              <w:start w:w="110" w:type="dxa"/>
              <w:bottom w:w="90" w:type="dxa"/>
              <w:end w:w="110" w:type="dxa"/>
            </w:tcMar>
          </w:tcPr>
          <w:p>
            <w:r>
              <w:rPr>
                <w:rFonts w:ascii="Arial" w:hAnsi="Arial"/>
                <w:b/>
                <w:color w:val="FFFFFF"/>
                <w:sz w:val="18"/>
              </w:rPr>
              <w:t>Application</w:t>
            </w:r>
          </w:p>
        </w:tc>
      </w:tr>
      <w:tr>
        <w:tc>
          <w:tcPr>
            <w:tcW w:type="dxa" w:w="1944"/>
            <w:tcMar>
              <w:top w:w="90" w:type="dxa"/>
              <w:start w:w="110" w:type="dxa"/>
              <w:bottom w:w="90" w:type="dxa"/>
              <w:end w:w="110" w:type="dxa"/>
            </w:tcMar>
            <w:vAlign w:val="center"/>
          </w:tcPr>
          <w:p>
            <w:pPr>
              <w:spacing w:after="0"/>
            </w:pPr>
            <w:r>
              <w:rPr>
                <w:rFonts w:ascii="Arial" w:hAnsi="Arial"/>
                <w:sz w:val="18"/>
              </w:rPr>
              <w:t>Typeface</w:t>
            </w:r>
          </w:p>
        </w:tc>
        <w:tc>
          <w:tcPr>
            <w:tcW w:type="dxa" w:w="2232"/>
            <w:tcMar>
              <w:top w:w="90" w:type="dxa"/>
              <w:start w:w="110" w:type="dxa"/>
              <w:bottom w:w="90" w:type="dxa"/>
              <w:end w:w="110" w:type="dxa"/>
            </w:tcMar>
            <w:vAlign w:val="center"/>
          </w:tcPr>
          <w:p>
            <w:pPr>
              <w:spacing w:after="0"/>
            </w:pPr>
            <w:r>
              <w:rPr>
                <w:rFonts w:ascii="Arial" w:hAnsi="Arial"/>
                <w:sz w:val="18"/>
              </w:rPr>
              <w:t>Arial</w:t>
            </w:r>
          </w:p>
        </w:tc>
        <w:tc>
          <w:tcPr>
            <w:tcW w:type="dxa" w:w="5616"/>
            <w:tcMar>
              <w:top w:w="90" w:type="dxa"/>
              <w:start w:w="110" w:type="dxa"/>
              <w:bottom w:w="90" w:type="dxa"/>
              <w:end w:w="110" w:type="dxa"/>
            </w:tcMar>
            <w:vAlign w:val="center"/>
          </w:tcPr>
          <w:p>
            <w:pPr>
              <w:spacing w:after="0"/>
            </w:pPr>
            <w:r>
              <w:rPr>
                <w:rFonts w:ascii="Arial" w:hAnsi="Arial"/>
                <w:sz w:val="18"/>
              </w:rPr>
              <w:t>Use for all new messages, replies and forwards.</w:t>
            </w:r>
          </w:p>
        </w:tc>
      </w:tr>
      <w:tr>
        <w:tc>
          <w:tcPr>
            <w:tcW w:type="dxa" w:w="1944"/>
            <w:tcMar>
              <w:top w:w="90" w:type="dxa"/>
              <w:start w:w="110" w:type="dxa"/>
              <w:bottom w:w="90" w:type="dxa"/>
              <w:end w:w="110" w:type="dxa"/>
            </w:tcMar>
            <w:vAlign w:val="center"/>
          </w:tcPr>
          <w:p>
            <w:pPr>
              <w:spacing w:after="0"/>
            </w:pPr>
            <w:r>
              <w:rPr>
                <w:rFonts w:ascii="Arial" w:hAnsi="Arial"/>
                <w:sz w:val="18"/>
              </w:rPr>
              <w:t>Body size</w:t>
            </w:r>
          </w:p>
        </w:tc>
        <w:tc>
          <w:tcPr>
            <w:tcW w:type="dxa" w:w="2232"/>
            <w:tcMar>
              <w:top w:w="90" w:type="dxa"/>
              <w:start w:w="110" w:type="dxa"/>
              <w:bottom w:w="90" w:type="dxa"/>
              <w:end w:w="110" w:type="dxa"/>
            </w:tcMar>
            <w:vAlign w:val="center"/>
          </w:tcPr>
          <w:p>
            <w:pPr>
              <w:spacing w:after="0"/>
            </w:pPr>
            <w:r>
              <w:rPr>
                <w:rFonts w:ascii="Arial" w:hAnsi="Arial"/>
                <w:sz w:val="18"/>
              </w:rPr>
              <w:t>10.5 or 11 pt</w:t>
            </w:r>
          </w:p>
        </w:tc>
        <w:tc>
          <w:tcPr>
            <w:tcW w:type="dxa" w:w="5616"/>
            <w:tcMar>
              <w:top w:w="90" w:type="dxa"/>
              <w:start w:w="110" w:type="dxa"/>
              <w:bottom w:w="90" w:type="dxa"/>
              <w:end w:w="110" w:type="dxa"/>
            </w:tcMar>
            <w:vAlign w:val="center"/>
          </w:tcPr>
          <w:p>
            <w:pPr>
              <w:spacing w:after="0"/>
            </w:pPr>
            <w:r>
              <w:rPr>
                <w:rFonts w:ascii="Arial" w:hAnsi="Arial"/>
                <w:sz w:val="18"/>
              </w:rPr>
              <w:t>11 pt is preferred for accessibility and readability.</w:t>
            </w:r>
          </w:p>
        </w:tc>
      </w:tr>
      <w:tr>
        <w:tc>
          <w:tcPr>
            <w:tcW w:type="dxa" w:w="1944"/>
            <w:tcMar>
              <w:top w:w="90" w:type="dxa"/>
              <w:start w:w="110" w:type="dxa"/>
              <w:bottom w:w="90" w:type="dxa"/>
              <w:end w:w="110" w:type="dxa"/>
            </w:tcMar>
            <w:vAlign w:val="center"/>
          </w:tcPr>
          <w:p>
            <w:pPr>
              <w:spacing w:after="0"/>
            </w:pPr>
            <w:r>
              <w:rPr>
                <w:rFonts w:ascii="Arial" w:hAnsi="Arial"/>
                <w:sz w:val="18"/>
              </w:rPr>
              <w:t>Body colour</w:t>
            </w:r>
          </w:p>
        </w:tc>
        <w:tc>
          <w:tcPr>
            <w:tcW w:type="dxa" w:w="2232"/>
            <w:tcMar>
              <w:top w:w="90" w:type="dxa"/>
              <w:start w:w="110" w:type="dxa"/>
              <w:bottom w:w="90" w:type="dxa"/>
              <w:end w:w="110" w:type="dxa"/>
            </w:tcMar>
            <w:vAlign w:val="center"/>
          </w:tcPr>
          <w:p>
            <w:pPr>
              <w:spacing w:after="0"/>
            </w:pPr>
            <w:r>
              <w:rPr>
                <w:rFonts w:ascii="Arial" w:hAnsi="Arial"/>
                <w:sz w:val="18"/>
              </w:rPr>
              <w:t>Black or automatic</w:t>
            </w:r>
          </w:p>
        </w:tc>
        <w:tc>
          <w:tcPr>
            <w:tcW w:type="dxa" w:w="5616"/>
            <w:tcMar>
              <w:top w:w="90" w:type="dxa"/>
              <w:start w:w="110" w:type="dxa"/>
              <w:bottom w:w="90" w:type="dxa"/>
              <w:end w:w="110" w:type="dxa"/>
            </w:tcMar>
            <w:vAlign w:val="center"/>
          </w:tcPr>
          <w:p>
            <w:pPr>
              <w:spacing w:after="0"/>
            </w:pPr>
            <w:r>
              <w:rPr>
                <w:rFonts w:ascii="Arial" w:hAnsi="Arial"/>
                <w:sz w:val="18"/>
              </w:rPr>
              <w:t>Avoid grey body text and coloured paragraphs.</w:t>
            </w:r>
          </w:p>
        </w:tc>
      </w:tr>
      <w:tr>
        <w:tc>
          <w:tcPr>
            <w:tcW w:type="dxa" w:w="1944"/>
            <w:tcMar>
              <w:top w:w="90" w:type="dxa"/>
              <w:start w:w="110" w:type="dxa"/>
              <w:bottom w:w="90" w:type="dxa"/>
              <w:end w:w="110" w:type="dxa"/>
            </w:tcMar>
            <w:vAlign w:val="center"/>
          </w:tcPr>
          <w:p>
            <w:pPr>
              <w:spacing w:after="0"/>
            </w:pPr>
            <w:r>
              <w:rPr>
                <w:rFonts w:ascii="Arial" w:hAnsi="Arial"/>
                <w:sz w:val="18"/>
              </w:rPr>
              <w:t>Background</w:t>
            </w:r>
          </w:p>
        </w:tc>
        <w:tc>
          <w:tcPr>
            <w:tcW w:type="dxa" w:w="2232"/>
            <w:tcMar>
              <w:top w:w="90" w:type="dxa"/>
              <w:start w:w="110" w:type="dxa"/>
              <w:bottom w:w="90" w:type="dxa"/>
              <w:end w:w="110" w:type="dxa"/>
            </w:tcMar>
            <w:vAlign w:val="center"/>
          </w:tcPr>
          <w:p>
            <w:pPr>
              <w:spacing w:after="0"/>
            </w:pPr>
            <w:r>
              <w:rPr>
                <w:rFonts w:ascii="Arial" w:hAnsi="Arial"/>
                <w:sz w:val="18"/>
              </w:rPr>
              <w:t>White or automatic</w:t>
            </w:r>
          </w:p>
        </w:tc>
        <w:tc>
          <w:tcPr>
            <w:tcW w:type="dxa" w:w="5616"/>
            <w:tcMar>
              <w:top w:w="90" w:type="dxa"/>
              <w:start w:w="110" w:type="dxa"/>
              <w:bottom w:w="90" w:type="dxa"/>
              <w:end w:w="110" w:type="dxa"/>
            </w:tcMar>
            <w:vAlign w:val="center"/>
          </w:tcPr>
          <w:p>
            <w:pPr>
              <w:spacing w:after="0"/>
            </w:pPr>
            <w:r>
              <w:rPr>
                <w:rFonts w:ascii="Arial" w:hAnsi="Arial"/>
                <w:sz w:val="18"/>
              </w:rPr>
              <w:t>Do not apply stationery, textures or branded backgrounds.</w:t>
            </w:r>
          </w:p>
        </w:tc>
      </w:tr>
      <w:tr>
        <w:tc>
          <w:tcPr>
            <w:tcW w:type="dxa" w:w="1944"/>
            <w:tcMar>
              <w:top w:w="90" w:type="dxa"/>
              <w:start w:w="110" w:type="dxa"/>
              <w:bottom w:w="90" w:type="dxa"/>
              <w:end w:w="110" w:type="dxa"/>
            </w:tcMar>
            <w:vAlign w:val="center"/>
          </w:tcPr>
          <w:p>
            <w:pPr>
              <w:spacing w:after="0"/>
            </w:pPr>
            <w:r>
              <w:rPr>
                <w:rFonts w:ascii="Arial" w:hAnsi="Arial"/>
                <w:sz w:val="18"/>
              </w:rPr>
              <w:t>Paragraph spacing</w:t>
            </w:r>
          </w:p>
        </w:tc>
        <w:tc>
          <w:tcPr>
            <w:tcW w:type="dxa" w:w="2232"/>
            <w:tcMar>
              <w:top w:w="90" w:type="dxa"/>
              <w:start w:w="110" w:type="dxa"/>
              <w:bottom w:w="90" w:type="dxa"/>
              <w:end w:w="110" w:type="dxa"/>
            </w:tcMar>
            <w:vAlign w:val="center"/>
          </w:tcPr>
          <w:p>
            <w:pPr>
              <w:spacing w:after="0"/>
            </w:pPr>
            <w:r>
              <w:rPr>
                <w:rFonts w:ascii="Arial" w:hAnsi="Arial"/>
                <w:sz w:val="18"/>
              </w:rPr>
              <w:t>One blank line between paragraphs</w:t>
            </w:r>
          </w:p>
        </w:tc>
        <w:tc>
          <w:tcPr>
            <w:tcW w:type="dxa" w:w="5616"/>
            <w:tcMar>
              <w:top w:w="90" w:type="dxa"/>
              <w:start w:w="110" w:type="dxa"/>
              <w:bottom w:w="90" w:type="dxa"/>
              <w:end w:w="110" w:type="dxa"/>
            </w:tcMar>
            <w:vAlign w:val="center"/>
          </w:tcPr>
          <w:p>
            <w:pPr>
              <w:spacing w:after="0"/>
            </w:pPr>
            <w:r>
              <w:rPr>
                <w:rFonts w:ascii="Arial" w:hAnsi="Arial"/>
                <w:sz w:val="18"/>
              </w:rPr>
              <w:t>Avoid dense blocks and excessive spacing.</w:t>
            </w:r>
          </w:p>
        </w:tc>
      </w:tr>
      <w:tr>
        <w:tc>
          <w:tcPr>
            <w:tcW w:type="dxa" w:w="1944"/>
            <w:tcMar>
              <w:top w:w="90" w:type="dxa"/>
              <w:start w:w="110" w:type="dxa"/>
              <w:bottom w:w="90" w:type="dxa"/>
              <w:end w:w="110" w:type="dxa"/>
            </w:tcMar>
            <w:vAlign w:val="center"/>
          </w:tcPr>
          <w:p>
            <w:pPr>
              <w:spacing w:after="0"/>
            </w:pPr>
            <w:r>
              <w:rPr>
                <w:rFonts w:ascii="Arial" w:hAnsi="Arial"/>
                <w:sz w:val="18"/>
              </w:rPr>
              <w:t>Headings</w:t>
            </w:r>
          </w:p>
        </w:tc>
        <w:tc>
          <w:tcPr>
            <w:tcW w:type="dxa" w:w="2232"/>
            <w:tcMar>
              <w:top w:w="90" w:type="dxa"/>
              <w:start w:w="110" w:type="dxa"/>
              <w:bottom w:w="90" w:type="dxa"/>
              <w:end w:w="110" w:type="dxa"/>
            </w:tcMar>
            <w:vAlign w:val="center"/>
          </w:tcPr>
          <w:p>
            <w:pPr>
              <w:spacing w:after="0"/>
            </w:pPr>
            <w:r>
              <w:rPr>
                <w:rFonts w:ascii="Arial" w:hAnsi="Arial"/>
                <w:sz w:val="18"/>
              </w:rPr>
              <w:t>Arial bold</w:t>
            </w:r>
          </w:p>
        </w:tc>
        <w:tc>
          <w:tcPr>
            <w:tcW w:type="dxa" w:w="5616"/>
            <w:tcMar>
              <w:top w:w="90" w:type="dxa"/>
              <w:start w:w="110" w:type="dxa"/>
              <w:bottom w:w="90" w:type="dxa"/>
              <w:end w:w="110" w:type="dxa"/>
            </w:tcMar>
            <w:vAlign w:val="center"/>
          </w:tcPr>
          <w:p>
            <w:pPr>
              <w:spacing w:after="0"/>
            </w:pPr>
            <w:r>
              <w:rPr>
                <w:rFonts w:ascii="Arial" w:hAnsi="Arial"/>
                <w:sz w:val="18"/>
              </w:rPr>
              <w:t>Use sparingly in longer emails; no decorative display type.</w:t>
            </w:r>
          </w:p>
        </w:tc>
      </w:tr>
      <w:tr>
        <w:tc>
          <w:tcPr>
            <w:tcW w:type="dxa" w:w="1944"/>
            <w:tcMar>
              <w:top w:w="90" w:type="dxa"/>
              <w:start w:w="110" w:type="dxa"/>
              <w:bottom w:w="90" w:type="dxa"/>
              <w:end w:w="110" w:type="dxa"/>
            </w:tcMar>
            <w:vAlign w:val="center"/>
          </w:tcPr>
          <w:p>
            <w:pPr>
              <w:spacing w:after="0"/>
            </w:pPr>
            <w:r>
              <w:rPr>
                <w:rFonts w:ascii="Arial" w:hAnsi="Arial"/>
                <w:sz w:val="18"/>
              </w:rPr>
              <w:t>Emphasis</w:t>
            </w:r>
          </w:p>
        </w:tc>
        <w:tc>
          <w:tcPr>
            <w:tcW w:type="dxa" w:w="2232"/>
            <w:tcMar>
              <w:top w:w="90" w:type="dxa"/>
              <w:start w:w="110" w:type="dxa"/>
              <w:bottom w:w="90" w:type="dxa"/>
              <w:end w:w="110" w:type="dxa"/>
            </w:tcMar>
            <w:vAlign w:val="center"/>
          </w:tcPr>
          <w:p>
            <w:pPr>
              <w:spacing w:after="0"/>
            </w:pPr>
            <w:r>
              <w:rPr>
                <w:rFonts w:ascii="Arial" w:hAnsi="Arial"/>
                <w:sz w:val="18"/>
              </w:rPr>
              <w:t>Bold first; italics second</w:t>
            </w:r>
          </w:p>
        </w:tc>
        <w:tc>
          <w:tcPr>
            <w:tcW w:type="dxa" w:w="5616"/>
            <w:tcMar>
              <w:top w:w="90" w:type="dxa"/>
              <w:start w:w="110" w:type="dxa"/>
              <w:bottom w:w="90" w:type="dxa"/>
              <w:end w:w="110" w:type="dxa"/>
            </w:tcMar>
            <w:vAlign w:val="center"/>
          </w:tcPr>
          <w:p>
            <w:pPr>
              <w:spacing w:after="0"/>
            </w:pPr>
            <w:r>
              <w:rPr>
                <w:rFonts w:ascii="Arial" w:hAnsi="Arial"/>
                <w:sz w:val="18"/>
              </w:rPr>
              <w:t>Avoid underlining except hyperlinks and avoid all caps.</w:t>
            </w:r>
          </w:p>
        </w:tc>
      </w:tr>
      <w:tr>
        <w:tc>
          <w:tcPr>
            <w:tcW w:type="dxa" w:w="1944"/>
            <w:tcMar>
              <w:top w:w="90" w:type="dxa"/>
              <w:start w:w="110" w:type="dxa"/>
              <w:bottom w:w="90" w:type="dxa"/>
              <w:end w:w="110" w:type="dxa"/>
            </w:tcMar>
            <w:vAlign w:val="center"/>
          </w:tcPr>
          <w:p>
            <w:pPr>
              <w:spacing w:after="0"/>
            </w:pPr>
            <w:r>
              <w:rPr>
                <w:rFonts w:ascii="Arial" w:hAnsi="Arial"/>
                <w:sz w:val="18"/>
              </w:rPr>
              <w:t>Lists</w:t>
            </w:r>
          </w:p>
        </w:tc>
        <w:tc>
          <w:tcPr>
            <w:tcW w:type="dxa" w:w="2232"/>
            <w:tcMar>
              <w:top w:w="90" w:type="dxa"/>
              <w:start w:w="110" w:type="dxa"/>
              <w:bottom w:w="90" w:type="dxa"/>
              <w:end w:w="110" w:type="dxa"/>
            </w:tcMar>
            <w:vAlign w:val="center"/>
          </w:tcPr>
          <w:p>
            <w:pPr>
              <w:spacing w:after="0"/>
            </w:pPr>
            <w:r>
              <w:rPr>
                <w:rFonts w:ascii="Arial" w:hAnsi="Arial"/>
                <w:sz w:val="18"/>
              </w:rPr>
              <w:t>Simple bullets or numbers</w:t>
            </w:r>
          </w:p>
        </w:tc>
        <w:tc>
          <w:tcPr>
            <w:tcW w:type="dxa" w:w="5616"/>
            <w:tcMar>
              <w:top w:w="90" w:type="dxa"/>
              <w:start w:w="110" w:type="dxa"/>
              <w:bottom w:w="90" w:type="dxa"/>
              <w:end w:w="110" w:type="dxa"/>
            </w:tcMar>
            <w:vAlign w:val="center"/>
          </w:tcPr>
          <w:p>
            <w:pPr>
              <w:spacing w:after="0"/>
            </w:pPr>
            <w:r>
              <w:rPr>
                <w:rFonts w:ascii="Arial" w:hAnsi="Arial"/>
                <w:sz w:val="18"/>
              </w:rPr>
              <w:t>Use when they make decisions, responsibilities or deadlines easier to scan.</w:t>
            </w:r>
          </w:p>
        </w:tc>
      </w:tr>
    </w:tbl>
    <w:p>
      <w:pPr>
        <w:pStyle w:val="Heading1"/>
      </w:pPr>
      <w:r>
        <w:t>Replies and forwards</w:t>
      </w:r>
    </w:p>
    <w:p>
      <w:pPr>
        <w:pStyle w:val="ListBullet"/>
        <w:spacing w:after="60"/>
      </w:pPr>
      <w:r>
        <w:t>Use the full signature on new external messages and the first substantive reply when identity or contact information may be useful.</w:t>
      </w:r>
    </w:p>
    <w:p>
      <w:pPr>
        <w:pStyle w:val="ListBullet"/>
        <w:spacing w:after="60"/>
      </w:pPr>
      <w:r>
        <w:t>For routine reply chains, use the compact reply signature: name, designation, title, telephone number and email address. The logo and confidentiality notice may be omitted.</w:t>
      </w:r>
    </w:p>
    <w:p>
      <w:pPr>
        <w:pStyle w:val="ListBullet"/>
        <w:spacing w:after="60"/>
      </w:pPr>
      <w:r>
        <w:t>Do not repeatedly insert the full logo and legal notice within a long internal thread.</w:t>
      </w:r>
    </w:p>
    <w:p>
      <w:pPr>
        <w:pStyle w:val="ListBullet"/>
        <w:spacing w:after="60"/>
      </w:pPr>
      <w:r>
        <w:t>Keep quoted-message formatting generated by the email client; do not recolour or manually redesign forwarded content.</w:t>
      </w:r>
    </w:p>
    <w:p>
      <w:pPr>
        <w:pStyle w:val="Heading1"/>
      </w:pPr>
      <w:r>
        <w:t>Dark mode and image blocking</w:t>
      </w:r>
    </w:p>
    <w:p>
      <w:pPr>
        <w:pStyle w:val="ListBullet"/>
        <w:spacing w:after="60"/>
      </w:pPr>
      <w:r>
        <w:t>The signature must remain understandable if the logo does not load.</w:t>
      </w:r>
    </w:p>
    <w:p>
      <w:pPr>
        <w:pStyle w:val="ListBullet"/>
        <w:spacing w:after="60"/>
      </w:pPr>
      <w:r>
        <w:t>Logo artwork should have a transparent or white background and sufficient clear space.</w:t>
      </w:r>
    </w:p>
    <w:p>
      <w:pPr>
        <w:pStyle w:val="ListBullet"/>
        <w:spacing w:after="60"/>
      </w:pPr>
      <w:r>
        <w:t>Do not place essential contact information inside an image.</w:t>
      </w:r>
    </w:p>
    <w:p>
      <w:pPr>
        <w:pStyle w:val="ListBullet"/>
        <w:spacing w:after="60"/>
      </w:pPr>
      <w:r>
        <w:t>Avoid fine grey text. Use solid black for contact details and a medium grey only for the confidentiality notice.</w:t>
      </w:r>
    </w:p>
    <w:p>
      <w:r>
        <w:br w:type="page"/>
      </w:r>
    </w:p>
    <w:p>
      <w:pPr>
        <w:pStyle w:val="SmallLabel"/>
      </w:pPr>
      <w:r>
        <w:t>3 | LEGAL NOTICE, TECHNICAL SETUP AND GOVERNANCE</w:t>
      </w:r>
    </w:p>
    <w:p>
      <w:pPr>
        <w:pStyle w:val="Heading1"/>
      </w:pPr>
      <w:r>
        <w:t>Approved confidentiality notice</w:t>
      </w:r>
    </w:p>
    <w:tbl>
      <w:tblPr>
        <w:tblW w:type="auto" w:w="0"/>
        <w:jc w:val="center"/>
        <w:tblLayout w:type="fixed"/>
        <w:tblLook w:firstColumn="1" w:firstRow="1" w:lastColumn="0" w:lastRow="0" w:noHBand="0" w:noVBand="1" w:val="04A0"/>
      </w:tblPr>
      <w:tblGrid>
        <w:gridCol w:w="9792"/>
      </w:tblGrid>
      <w:tr>
        <w:tc>
          <w:tcPr>
            <w:tcW w:type="dxa" w:w="10080"/>
            <w:shd w:fill="F2F2F2"/>
            <w:tcMar>
              <w:top w:w="120" w:type="dxa"/>
              <w:start w:w="150" w:type="dxa"/>
              <w:bottom w:w="120" w:type="dxa"/>
              <w:end w:w="150" w:type="dxa"/>
            </w:tcMar>
          </w:tcPr>
          <w:p>
            <w:pPr>
              <w:spacing w:after="0"/>
            </w:pPr>
            <w:r>
              <w:rPr>
                <w:rFonts w:ascii="Arial" w:hAnsi="Arial"/>
                <w:color w:val="464646"/>
                <w:sz w:val="18"/>
              </w:rPr>
              <w:t>The information transmitted, including attachments, is intended only for the person(s) or entity to which it is addressed and may contain confidential and/or privileged material. Any review, retransmission, dissemination or other use of, or taking of any action in reliance upon this information by persons or entities other than the intended recipient is prohibited. If you received this in error, please contact the sender and destroy any copies of this information.</w:t>
            </w:r>
          </w:p>
        </w:tc>
      </w:tr>
    </w:tbl>
    <w:p>
      <w:pPr>
        <w:pStyle w:val="Heading2"/>
      </w:pPr>
      <w:r>
        <w:t>Notice formatting</w:t>
      </w:r>
    </w:p>
    <w:p>
      <w:pPr>
        <w:pStyle w:val="ListBullet"/>
        <w:spacing w:after="60"/>
      </w:pPr>
      <w:r>
        <w:t>Arial 8 or 8.5 pt</w:t>
      </w:r>
    </w:p>
    <w:p>
      <w:pPr>
        <w:pStyle w:val="ListBullet"/>
        <w:spacing w:after="60"/>
      </w:pPr>
      <w:r>
        <w:t>Medium grey text on a white or automatic background</w:t>
      </w:r>
    </w:p>
    <w:p>
      <w:pPr>
        <w:pStyle w:val="ListBullet"/>
        <w:spacing w:after="60"/>
      </w:pPr>
      <w:r>
        <w:t>Placed below the signature with modest spacing</w:t>
      </w:r>
    </w:p>
    <w:p>
      <w:pPr>
        <w:pStyle w:val="ListBullet"/>
        <w:spacing w:after="60"/>
      </w:pPr>
      <w:r>
        <w:t>No border, shaded box or all-capital treatment</w:t>
      </w:r>
    </w:p>
    <w:p>
      <w:pPr>
        <w:pStyle w:val="ListBullet"/>
        <w:spacing w:after="60"/>
      </w:pPr>
      <w:r>
        <w:t>Do not shorten or alter without legal and leadership approval</w:t>
      </w:r>
    </w:p>
    <w:p>
      <w:pPr>
        <w:pStyle w:val="Heading1"/>
      </w:pPr>
      <w:r>
        <w:t>Logo and image specifications</w:t>
      </w:r>
    </w:p>
    <w:p>
      <w:pPr>
        <w:pStyle w:val="ListBullet"/>
        <w:spacing w:after="60"/>
      </w:pPr>
      <w:r>
        <w:t>Use the approved black Janke LLP logo only.</w:t>
      </w:r>
    </w:p>
    <w:p>
      <w:pPr>
        <w:pStyle w:val="ListBullet"/>
        <w:spacing w:after="60"/>
      </w:pPr>
      <w:r>
        <w:t>Recommended displayed width: approximately 280 to 360 pixels, depending on the signature layout.</w:t>
      </w:r>
    </w:p>
    <w:p>
      <w:pPr>
        <w:pStyle w:val="ListBullet"/>
        <w:spacing w:after="60"/>
      </w:pPr>
      <w:r>
        <w:t>Use PNG format with a transparent or white background. Avoid JPEG compression artifacts.</w:t>
      </w:r>
    </w:p>
    <w:p>
      <w:pPr>
        <w:pStyle w:val="ListBullet"/>
        <w:spacing w:after="60"/>
      </w:pPr>
      <w:r>
        <w:t>Add descriptive alternative text such as “Janke LLP Professional Accountants”.</w:t>
      </w:r>
    </w:p>
    <w:p>
      <w:pPr>
        <w:pStyle w:val="ListBullet"/>
        <w:spacing w:after="60"/>
      </w:pPr>
      <w:r>
        <w:t>Host the image in an approved, stable location where required by the email platform. Do not link to personal cloud storage.</w:t>
      </w:r>
    </w:p>
    <w:p>
      <w:pPr>
        <w:pStyle w:val="Heading1"/>
      </w:pPr>
      <w:r>
        <w:t>Mobile and plain-text versions</w:t>
      </w:r>
    </w:p>
    <w:p>
      <w:pPr>
        <w:pStyle w:val="ListBullet"/>
        <w:spacing w:after="60"/>
      </w:pPr>
      <w:r>
        <w:t>Mobile signature: name, designation, title, telephone number, email address and “Janke LLP”.</w:t>
      </w:r>
    </w:p>
    <w:p>
      <w:pPr>
        <w:pStyle w:val="ListBullet"/>
        <w:spacing w:after="60"/>
      </w:pPr>
      <w:r>
        <w:t>Plain-text signature: use the same information with hyphens or line breaks; omit the image.</w:t>
      </w:r>
    </w:p>
    <w:p>
      <w:pPr>
        <w:pStyle w:val="ListBullet"/>
        <w:spacing w:after="60"/>
      </w:pPr>
      <w:r>
        <w:t>Do not use “Sent from my phone” or similar default text unless the firm intentionally adopts it.</w:t>
      </w:r>
    </w:p>
    <w:p>
      <w:pPr>
        <w:pStyle w:val="Heading1"/>
      </w:pPr>
      <w:r>
        <w:t>Ownership and approval</w:t>
      </w:r>
    </w:p>
    <w:p>
      <w:pPr>
        <w:pStyle w:val="ListBullet"/>
        <w:spacing w:after="60"/>
      </w:pPr>
      <w:r>
        <w:t>The firm maintains one controlled master signature format.</w:t>
      </w:r>
    </w:p>
    <w:p>
      <w:pPr>
        <w:pStyle w:val="ListBullet"/>
        <w:spacing w:after="60"/>
      </w:pPr>
      <w:r>
        <w:t>Marketing or administration may update employee details without redesigning the signature.</w:t>
      </w:r>
    </w:p>
    <w:p>
      <w:pPr>
        <w:pStyle w:val="ListBullet"/>
        <w:spacing w:after="60"/>
      </w:pPr>
      <w:r>
        <w:t>Changes to logo, typography, legal notice, structure or required fields require brand-owner approval.</w:t>
      </w:r>
    </w:p>
    <w:p>
      <w:pPr>
        <w:pStyle w:val="ListBullet"/>
        <w:spacing w:after="60"/>
      </w:pPr>
      <w:r>
        <w:t>Test the signature in Outlook desktop, Outlook web, Gmail, iPhone and Android before firm-wide rollout.</w:t>
      </w:r>
    </w:p>
    <w:p>
      <w:pPr>
        <w:pStyle w:val="ListBullet"/>
        <w:spacing w:after="60"/>
      </w:pPr>
      <w:r>
        <w:t>Review annually and whenever the logo, office details, telephone numbers or legal requirements change.</w:t>
      </w:r>
    </w:p>
    <w:p>
      <w:pPr>
        <w:pStyle w:val="Heading1"/>
      </w:pPr>
      <w:r>
        <w:t>Release checklist</w:t>
      </w:r>
    </w:p>
    <w:p>
      <w:pPr>
        <w:spacing w:after="60"/>
        <w:ind w:left="144"/>
      </w:pPr>
      <w:r>
        <w:rPr>
          <w:rFonts w:ascii="Arial" w:hAnsi="Arial"/>
        </w:rPr>
        <w:t xml:space="preserve">☐ </w:t>
      </w:r>
      <w:r>
        <w:t>Name, designation, role and contact details are accurate.</w:t>
      </w:r>
    </w:p>
    <w:p>
      <w:pPr>
        <w:spacing w:after="60"/>
        <w:ind w:left="144"/>
      </w:pPr>
      <w:r>
        <w:rPr>
          <w:rFonts w:ascii="Arial" w:hAnsi="Arial"/>
        </w:rPr>
        <w:t xml:space="preserve">☐ </w:t>
      </w:r>
      <w:r>
        <w:t>Arial is used throughout the signature and email body guidance.</w:t>
      </w:r>
    </w:p>
    <w:p>
      <w:pPr>
        <w:spacing w:after="60"/>
        <w:ind w:left="144"/>
      </w:pPr>
      <w:r>
        <w:rPr>
          <w:rFonts w:ascii="Arial" w:hAnsi="Arial"/>
        </w:rPr>
        <w:t xml:space="preserve">☐ </w:t>
      </w:r>
      <w:r>
        <w:t>Logo is black, properly sized and not stretched.</w:t>
      </w:r>
    </w:p>
    <w:p>
      <w:pPr>
        <w:spacing w:after="60"/>
        <w:ind w:left="144"/>
      </w:pPr>
      <w:r>
        <w:rPr>
          <w:rFonts w:ascii="Arial" w:hAnsi="Arial"/>
        </w:rPr>
        <w:t xml:space="preserve">☐ </w:t>
      </w:r>
      <w:r>
        <w:t>Signature is readable with images blocked and in dark mode.</w:t>
      </w:r>
    </w:p>
    <w:p>
      <w:pPr>
        <w:spacing w:after="60"/>
        <w:ind w:left="144"/>
      </w:pPr>
      <w:r>
        <w:rPr>
          <w:rFonts w:ascii="Arial" w:hAnsi="Arial"/>
        </w:rPr>
        <w:t xml:space="preserve">☐ </w:t>
      </w:r>
      <w:r>
        <w:t>Links work and use approved destinations.</w:t>
      </w:r>
    </w:p>
    <w:p>
      <w:pPr>
        <w:spacing w:after="60"/>
        <w:ind w:left="144"/>
      </w:pPr>
      <w:r>
        <w:rPr>
          <w:rFonts w:ascii="Arial" w:hAnsi="Arial"/>
        </w:rPr>
        <w:t xml:space="preserve">☐ </w:t>
      </w:r>
      <w:r>
        <w:t>Confidentiality notice is complete and unaltered.</w:t>
      </w:r>
    </w:p>
    <w:p>
      <w:pPr>
        <w:spacing w:after="60"/>
        <w:ind w:left="144"/>
      </w:pPr>
      <w:r>
        <w:rPr>
          <w:rFonts w:ascii="Arial" w:hAnsi="Arial"/>
        </w:rPr>
        <w:t xml:space="preserve">☐ </w:t>
      </w:r>
      <w:r>
        <w:t>Mobile and plain-text versions are available.</w:t>
      </w:r>
    </w:p>
    <w:p>
      <w:pPr>
        <w:spacing w:after="60"/>
        <w:ind w:left="144"/>
      </w:pPr>
      <w:r>
        <w:rPr>
          <w:rFonts w:ascii="Arial" w:hAnsi="Arial"/>
        </w:rPr>
        <w:t xml:space="preserve">☐ </w:t>
      </w:r>
      <w:r>
        <w:t>Signature has been tested in the firm’s primary email clients.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Janke LLP | Email Signature and Email Formatting Standard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ilroy" w:hAnsi="Gilro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ilroy" w:hAnsi="Gilroy"/>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Gilroy" w:hAnsi="Gilroy"/>
      <w:b/>
      <w:color w:val="14141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rial" w:hAnsi="Arial"/>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rial" w:hAnsi="Arial"/>
      <w:b/>
      <w:color w:val="6969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Email Signature and Email Formatting Standard</dc:title>
  <dc:subject>Brand and communication standard</dc:subject>
  <dc:creator>Janke LLP</dc:creator>
  <cp:keywords>email signature, email formatting, brand standard</cp:keywords>
  <dc:description>generated by python-docx</dc:description>
  <cp:lastModifiedBy/>
  <cp:revision>1</cp:revision>
  <dcterms:created xsi:type="dcterms:W3CDTF">2013-12-23T23:15:00Z</dcterms:created>
  <dcterms:modified xsi:type="dcterms:W3CDTF">2013-12-23T23:15:00Z</dcterms:modified>
  <cp:category/>
</cp:coreProperties>
</file>