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087"/>
          <w:sz w:val="88"/>
        </w:rPr>
        <w:t>AstraFlow</w:t>
      </w:r>
    </w:p>
    <w:p>
      <w:pPr>
        <w:jc w:val="center"/>
      </w:pPr>
      <w:r>
        <w:rPr>
          <w:color w:val="1C4197"/>
          <w:sz w:val="40"/>
        </w:rPr>
        <w:t>System Design &amp; Algorithmic Architecture</w:t>
      </w:r>
    </w:p>
    <w:p>
      <w:pPr>
        <w:jc w:val="center"/>
      </w:pPr>
      <w:r>
        <w:rPr>
          <w:i/>
          <w:color w:val="747683"/>
          <w:sz w:val="28"/>
        </w:rPr>
        <w:t>Intelligent Fuel Insights</w:t>
      </w:r>
    </w:p>
    <w:p/>
    <w:p>
      <w:pPr>
        <w:jc w:val="center"/>
      </w:pPr>
      <w:r>
        <w:rPr>
          <w:color w:val="444652"/>
          <w:sz w:val="22"/>
        </w:rPr>
        <w:t>Document Version 1.0  |  June 2026</w:t>
      </w:r>
    </w:p>
    <w:p>
      <w:pPr>
        <w:jc w:val="center"/>
      </w:pPr>
      <w:r>
        <w:rPr>
          <w:color w:val="747683"/>
          <w:sz w:val="20"/>
        </w:rPr>
        <w:t>Comprehensive System Review — Full-Stack Architecture, Algorithms, Security &amp; Performance</w:t>
      </w:r>
    </w:p>
    <w:p>
      <w:r>
        <w:br w:type="page"/>
      </w:r>
    </w:p>
    <w:p>
      <w:pPr>
        <w:pStyle w:val="Heading1"/>
      </w:pPr>
      <w:r>
        <w:t>Table of Contents</w:t>
      </w:r>
    </w:p>
    <w:p>
      <w:pPr>
        <w:spacing w:after="40"/>
      </w:pPr>
      <w:r>
        <w:rPr>
          <w:color w:val="1A1C1E"/>
          <w:sz w:val="20"/>
        </w:rPr>
        <w:t>1.  Executive Summary</w:t>
      </w:r>
    </w:p>
    <w:p>
      <w:pPr>
        <w:spacing w:after="40"/>
      </w:pPr>
      <w:r>
        <w:rPr>
          <w:color w:val="1A1C1E"/>
          <w:sz w:val="20"/>
        </w:rPr>
        <w:t>2.  System Architecture Overview</w:t>
      </w:r>
    </w:p>
    <w:p>
      <w:pPr>
        <w:spacing w:after="40"/>
      </w:pPr>
      <w:r>
        <w:rPr>
          <w:color w:val="1A1C1E"/>
          <w:sz w:val="20"/>
        </w:rPr>
        <w:t>3.  Frontend Architecture</w:t>
      </w:r>
    </w:p>
    <w:p>
      <w:pPr>
        <w:spacing w:after="40"/>
      </w:pPr>
      <w:r>
        <w:rPr>
          <w:color w:val="1A1C1E"/>
          <w:sz w:val="20"/>
        </w:rPr>
        <w:t>4.  Backend Architecture</w:t>
      </w:r>
    </w:p>
    <w:p>
      <w:pPr>
        <w:spacing w:after="40"/>
      </w:pPr>
      <w:r>
        <w:rPr>
          <w:color w:val="1A1C1E"/>
          <w:sz w:val="20"/>
        </w:rPr>
        <w:t>5.  Algorithms &amp; Processing Logic</w:t>
      </w:r>
    </w:p>
    <w:p>
      <w:pPr>
        <w:spacing w:after="40"/>
      </w:pPr>
      <w:r>
        <w:rPr>
          <w:color w:val="1A1C1E"/>
          <w:sz w:val="20"/>
        </w:rPr>
        <w:t xml:space="preserve">    5.1  JWT Authentication Flow</w:t>
      </w:r>
    </w:p>
    <w:p>
      <w:pPr>
        <w:spacing w:after="40"/>
      </w:pPr>
      <w:r>
        <w:rPr>
          <w:color w:val="1A1C1E"/>
          <w:sz w:val="20"/>
        </w:rPr>
        <w:t xml:space="preserve">    5.2  Dashboard Personalization</w:t>
      </w:r>
    </w:p>
    <w:p>
      <w:pPr>
        <w:spacing w:after="40"/>
      </w:pPr>
      <w:r>
        <w:rPr>
          <w:color w:val="1A1C1E"/>
          <w:sz w:val="20"/>
        </w:rPr>
        <w:t xml:space="preserve">    5.3  Consumption Prediction Engine</w:t>
      </w:r>
    </w:p>
    <w:p>
      <w:pPr>
        <w:spacing w:after="40"/>
      </w:pPr>
      <w:r>
        <w:rPr>
          <w:color w:val="1A1C1E"/>
          <w:sz w:val="20"/>
        </w:rPr>
        <w:t xml:space="preserve">    5.4  Price Alert Threshold</w:t>
      </w:r>
    </w:p>
    <w:p>
      <w:pPr>
        <w:spacing w:after="40"/>
      </w:pPr>
      <w:r>
        <w:rPr>
          <w:color w:val="1A1C1E"/>
          <w:sz w:val="20"/>
        </w:rPr>
        <w:t xml:space="preserve">    5.5  Price History Visualization</w:t>
      </w:r>
    </w:p>
    <w:p>
      <w:pPr>
        <w:spacing w:after="40"/>
      </w:pPr>
      <w:r>
        <w:rPr>
          <w:color w:val="1A1C1E"/>
          <w:sz w:val="20"/>
        </w:rPr>
        <w:t xml:space="preserve">    5.6  Survey Multi-Step Form</w:t>
      </w:r>
    </w:p>
    <w:p>
      <w:pPr>
        <w:spacing w:after="40"/>
      </w:pPr>
      <w:r>
        <w:rPr>
          <w:color w:val="1A1C1E"/>
          <w:sz w:val="20"/>
        </w:rPr>
        <w:t xml:space="preserve">    5.7  Protected Route Guard</w:t>
      </w:r>
    </w:p>
    <w:p>
      <w:pPr>
        <w:spacing w:after="40"/>
      </w:pPr>
      <w:r>
        <w:rPr>
          <w:color w:val="1A1C1E"/>
          <w:sz w:val="20"/>
        </w:rPr>
        <w:t xml:space="preserve">    5.8  Graceful Degradation &amp; Mock Fallback</w:t>
      </w:r>
    </w:p>
    <w:p>
      <w:pPr>
        <w:spacing w:after="40"/>
      </w:pPr>
      <w:r>
        <w:rPr>
          <w:color w:val="1A1C1E"/>
          <w:sz w:val="20"/>
        </w:rPr>
        <w:t xml:space="preserve">    5.9  Survey Insights Aggregation</w:t>
      </w:r>
    </w:p>
    <w:p>
      <w:pPr>
        <w:spacing w:after="40"/>
      </w:pPr>
      <w:r>
        <w:rPr>
          <w:color w:val="1A1C1E"/>
          <w:sz w:val="20"/>
        </w:rPr>
        <w:t>6.  Data Flow Analysis</w:t>
      </w:r>
    </w:p>
    <w:p>
      <w:pPr>
        <w:spacing w:after="40"/>
      </w:pPr>
      <w:r>
        <w:rPr>
          <w:color w:val="1A1C1E"/>
          <w:sz w:val="20"/>
        </w:rPr>
        <w:t>7.  Security Analysis</w:t>
      </w:r>
    </w:p>
    <w:p>
      <w:pPr>
        <w:spacing w:after="40"/>
      </w:pPr>
      <w:r>
        <w:rPr>
          <w:color w:val="1A1C1E"/>
          <w:sz w:val="20"/>
        </w:rPr>
        <w:t>8.  Performance Analysis</w:t>
      </w:r>
    </w:p>
    <w:p>
      <w:pPr>
        <w:spacing w:after="40"/>
      </w:pPr>
      <w:r>
        <w:rPr>
          <w:color w:val="1A1C1E"/>
          <w:sz w:val="20"/>
        </w:rPr>
        <w:t>9.  System Integration — Collective Behaviour</w:t>
      </w:r>
    </w:p>
    <w:p>
      <w:pPr>
        <w:spacing w:after="40"/>
      </w:pPr>
      <w:r>
        <w:rPr>
          <w:color w:val="1A1C1E"/>
          <w:sz w:val="20"/>
        </w:rPr>
        <w:t>10.  Deployment Architecture</w:t>
      </w:r>
    </w:p>
    <w:p>
      <w:pPr>
        <w:spacing w:after="40"/>
      </w:pPr>
      <w:r>
        <w:rPr>
          <w:color w:val="1A1C1E"/>
          <w:sz w:val="20"/>
        </w:rPr>
        <w:t>11.  Future Roadmap</w:t>
      </w:r>
    </w:p>
    <w:p>
      <w:r>
        <w:br w:type="page"/>
      </w:r>
    </w:p>
    <w:p>
      <w:pPr>
        <w:pStyle w:val="Heading1"/>
      </w:pPr>
      <w:r>
        <w:t>1. Executive Summary</w:t>
      </w:r>
    </w:p>
    <w:p>
      <w:r>
        <w:t>AstraFlow is an AI-Based Fuel Price Forecasting and Evaluation System — a full-stack mobile-first application built with Expo (React Native) for the frontend and FastAPI (Python) for the backend, backed by a PostgreSQL database hosted on Supabase. The application serves businesses in Mauritius — including restaurants, taxis, delivery services, retail shops, and logistics companies — by providing real-time fuel price tracking, consumption cost prediction with carbon footprint estimation, business-specific risk and impact assessment, personalised recommendations, and fuel impact surveys.</w:t>
      </w:r>
    </w:p>
    <w:p>
      <w:r>
        <w:t>The system uses JWT-based authentication, a token-driven design system (Azure Clarity), graceful degradation with mock data fallback, and a clearly separated service-route-model architecture on the backend. This document provides a comprehensive review of the system design, every algorithm driving the application's features, and an analysis of how all components integrate as a collective system.</w:t>
      </w:r>
    </w:p>
    <w:p>
      <w:pPr>
        <w:pStyle w:val="Heading1"/>
      </w:pPr>
      <w:r>
        <w:t>2. System Architecture Overview</w:t>
      </w:r>
    </w:p>
    <w:p>
      <w:pPr>
        <w:pStyle w:val="Heading2"/>
      </w:pPr>
      <w:r>
        <w:t>2.1 High-Level Architecture</w:t>
      </w:r>
    </w:p>
    <w:p>
      <w:r>
        <w:t>AstraFlow follows a modern two-tier monorepo architecture. The frontend and backend coexist in a single repository, sharing database schemas and design references. Communication occurs exclusively over HTTP REST APIs using JSON as the data interchange format.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Layer</w:t>
            </w:r>
          </w:p>
        </w:tc>
        <w:tc>
          <w:tcPr>
            <w:tcW w:type="dxa" w:w="2880"/>
            <w:shd w:fill="003087" w:val="clear"/>
          </w:tcPr>
          <w:p>
            <w:r>
              <w:rPr>
                <w:b/>
                <w:color w:val="FFFFFF"/>
                <w:sz w:val="18"/>
              </w:rPr>
              <w:t>Technology</w:t>
            </w:r>
          </w:p>
        </w:tc>
        <w:tc>
          <w:tcPr>
            <w:tcW w:type="dxa" w:w="2880"/>
            <w:shd w:fill="003087" w:val="clear"/>
          </w:tcPr>
          <w:p>
            <w:r>
              <w:rPr>
                <w:b/>
                <w:color w:val="FFFFFF"/>
                <w:sz w:val="18"/>
              </w:rPr>
              <w:t>Version</w:t>
            </w:r>
          </w:p>
        </w:tc>
      </w:tr>
      <w:tr>
        <w:tc>
          <w:tcPr>
            <w:tcW w:type="dxa" w:w="2880"/>
          </w:tcPr>
          <w:p>
            <w:r>
              <w:rPr>
                <w:color w:val="1A1C1E"/>
                <w:sz w:val="18"/>
              </w:rPr>
              <w:t>Mobile / Web Framework</w:t>
            </w:r>
          </w:p>
        </w:tc>
        <w:tc>
          <w:tcPr>
            <w:tcW w:type="dxa" w:w="2880"/>
          </w:tcPr>
          <w:p>
            <w:r>
              <w:rPr>
                <w:color w:val="1A1C1E"/>
                <w:sz w:val="18"/>
              </w:rPr>
              <w:t>Expo (React Native)</w:t>
            </w:r>
          </w:p>
        </w:tc>
        <w:tc>
          <w:tcPr>
            <w:tcW w:type="dxa" w:w="2880"/>
          </w:tcPr>
          <w:p>
            <w:r>
              <w:rPr>
                <w:color w:val="1A1C1E"/>
                <w:sz w:val="18"/>
              </w:rPr>
              <w:t>~56.0.9</w:t>
            </w:r>
          </w:p>
        </w:tc>
      </w:tr>
      <w:tr>
        <w:tc>
          <w:tcPr>
            <w:tcW w:type="dxa" w:w="2880"/>
          </w:tcPr>
          <w:p>
            <w:r>
              <w:rPr>
                <w:color w:val="1A1C1E"/>
                <w:sz w:val="18"/>
              </w:rPr>
              <w:t>Routing</w:t>
            </w:r>
          </w:p>
        </w:tc>
        <w:tc>
          <w:tcPr>
            <w:tcW w:type="dxa" w:w="2880"/>
          </w:tcPr>
          <w:p>
            <w:r>
              <w:rPr>
                <w:color w:val="1A1C1E"/>
                <w:sz w:val="18"/>
              </w:rPr>
              <w:t>Expo Router (file-based)</w:t>
            </w:r>
          </w:p>
        </w:tc>
        <w:tc>
          <w:tcPr>
            <w:tcW w:type="dxa" w:w="2880"/>
          </w:tcPr>
          <w:p>
            <w:r>
              <w:rPr>
                <w:color w:val="1A1C1E"/>
                <w:sz w:val="18"/>
              </w:rPr>
              <w:t>~56.2.9</w:t>
            </w:r>
          </w:p>
        </w:tc>
      </w:tr>
      <w:tr>
        <w:tc>
          <w:tcPr>
            <w:tcW w:type="dxa" w:w="2880"/>
          </w:tcPr>
          <w:p>
            <w:r>
              <w:rPr>
                <w:color w:val="1A1C1E"/>
                <w:sz w:val="18"/>
              </w:rPr>
              <w:t>UI Component Library</w:t>
            </w:r>
          </w:p>
        </w:tc>
        <w:tc>
          <w:tcPr>
            <w:tcW w:type="dxa" w:w="2880"/>
          </w:tcPr>
          <w:p>
            <w:r>
              <w:rPr>
                <w:color w:val="1A1C1E"/>
                <w:sz w:val="18"/>
              </w:rPr>
              <w:t>Gluestack UI</w:t>
            </w:r>
          </w:p>
        </w:tc>
        <w:tc>
          <w:tcPr>
            <w:tcW w:type="dxa" w:w="2880"/>
          </w:tcPr>
          <w:p>
            <w:r>
              <w:rPr>
                <w:color w:val="1A1C1E"/>
                <w:sz w:val="18"/>
              </w:rPr>
              <w:t>~1.1.73</w:t>
            </w:r>
          </w:p>
        </w:tc>
      </w:tr>
      <w:tr>
        <w:tc>
          <w:tcPr>
            <w:tcW w:type="dxa" w:w="2880"/>
          </w:tcPr>
          <w:p>
            <w:r>
              <w:rPr>
                <w:color w:val="1A1C1E"/>
                <w:sz w:val="18"/>
              </w:rPr>
              <w:t>Styling Engine</w:t>
            </w:r>
          </w:p>
        </w:tc>
        <w:tc>
          <w:tcPr>
            <w:tcW w:type="dxa" w:w="2880"/>
          </w:tcPr>
          <w:p>
            <w:r>
              <w:rPr>
                <w:color w:val="1A1C1E"/>
                <w:sz w:val="18"/>
              </w:rPr>
              <w:t>NativeWind (Tailwind for RN)</w:t>
            </w:r>
          </w:p>
        </w:tc>
        <w:tc>
          <w:tcPr>
            <w:tcW w:type="dxa" w:w="2880"/>
          </w:tcPr>
          <w:p>
            <w:r>
              <w:rPr>
                <w:color w:val="1A1C1E"/>
                <w:sz w:val="18"/>
              </w:rPr>
              <w:t>~4.2.5</w:t>
            </w:r>
          </w:p>
        </w:tc>
      </w:tr>
      <w:tr>
        <w:tc>
          <w:tcPr>
            <w:tcW w:type="dxa" w:w="2880"/>
          </w:tcPr>
          <w:p>
            <w:r>
              <w:rPr>
                <w:color w:val="1A1C1E"/>
                <w:sz w:val="18"/>
              </w:rPr>
              <w:t>Animations</w:t>
            </w:r>
          </w:p>
        </w:tc>
        <w:tc>
          <w:tcPr>
            <w:tcW w:type="dxa" w:w="2880"/>
          </w:tcPr>
          <w:p>
            <w:r>
              <w:rPr>
                <w:color w:val="1A1C1E"/>
                <w:sz w:val="18"/>
              </w:rPr>
              <w:t>React Native Reanimated</w:t>
            </w:r>
          </w:p>
        </w:tc>
        <w:tc>
          <w:tcPr>
            <w:tcW w:type="dxa" w:w="2880"/>
          </w:tcPr>
          <w:p>
            <w:r>
              <w:rPr>
                <w:color w:val="1A1C1E"/>
                <w:sz w:val="18"/>
              </w:rPr>
              <w:t>~4.3.1</w:t>
            </w:r>
          </w:p>
        </w:tc>
      </w:tr>
      <w:tr>
        <w:tc>
          <w:tcPr>
            <w:tcW w:type="dxa" w:w="2880"/>
          </w:tcPr>
          <w:p>
            <w:r>
              <w:rPr>
                <w:color w:val="1A1C1E"/>
                <w:sz w:val="18"/>
              </w:rPr>
              <w:t>Backend Framework</w:t>
            </w:r>
          </w:p>
        </w:tc>
        <w:tc>
          <w:tcPr>
            <w:tcW w:type="dxa" w:w="2880"/>
          </w:tcPr>
          <w:p>
            <w:r>
              <w:rPr>
                <w:color w:val="1A1C1E"/>
                <w:sz w:val="18"/>
              </w:rPr>
              <w:t>FastAPI (Python)</w:t>
            </w:r>
          </w:p>
        </w:tc>
        <w:tc>
          <w:tcPr>
            <w:tcW w:type="dxa" w:w="2880"/>
          </w:tcPr>
          <w:p>
            <w:r>
              <w:rPr>
                <w:color w:val="1A1C1E"/>
                <w:sz w:val="18"/>
              </w:rPr>
              <w:t>0.115.0</w:t>
            </w:r>
          </w:p>
        </w:tc>
      </w:tr>
      <w:tr>
        <w:tc>
          <w:tcPr>
            <w:tcW w:type="dxa" w:w="2880"/>
          </w:tcPr>
          <w:p>
            <w:r>
              <w:rPr>
                <w:color w:val="1A1C1E"/>
                <w:sz w:val="18"/>
              </w:rPr>
              <w:t>ASGI Server</w:t>
            </w:r>
          </w:p>
        </w:tc>
        <w:tc>
          <w:tcPr>
            <w:tcW w:type="dxa" w:w="2880"/>
          </w:tcPr>
          <w:p>
            <w:r>
              <w:rPr>
                <w:color w:val="1A1C1E"/>
                <w:sz w:val="18"/>
              </w:rPr>
              <w:t>Uvicorn</w:t>
            </w:r>
          </w:p>
        </w:tc>
        <w:tc>
          <w:tcPr>
            <w:tcW w:type="dxa" w:w="2880"/>
          </w:tcPr>
          <w:p>
            <w:r>
              <w:rPr>
                <w:color w:val="1A1C1E"/>
                <w:sz w:val="18"/>
              </w:rPr>
              <w:t>0.30.0</w:t>
            </w:r>
          </w:p>
        </w:tc>
      </w:tr>
      <w:tr>
        <w:tc>
          <w:tcPr>
            <w:tcW w:type="dxa" w:w="2880"/>
          </w:tcPr>
          <w:p>
            <w:r>
              <w:rPr>
                <w:color w:val="1A1C1E"/>
                <w:sz w:val="18"/>
              </w:rPr>
              <w:t>ORM</w:t>
            </w:r>
          </w:p>
        </w:tc>
        <w:tc>
          <w:tcPr>
            <w:tcW w:type="dxa" w:w="2880"/>
          </w:tcPr>
          <w:p>
            <w:r>
              <w:rPr>
                <w:color w:val="1A1C1E"/>
                <w:sz w:val="18"/>
              </w:rPr>
              <w:t>SQLAlchemy</w:t>
            </w:r>
          </w:p>
        </w:tc>
        <w:tc>
          <w:tcPr>
            <w:tcW w:type="dxa" w:w="2880"/>
          </w:tcPr>
          <w:p>
            <w:r>
              <w:rPr>
                <w:color w:val="1A1C1E"/>
                <w:sz w:val="18"/>
              </w:rPr>
              <w:t>2.0.50</w:t>
            </w:r>
          </w:p>
        </w:tc>
      </w:tr>
      <w:tr>
        <w:tc>
          <w:tcPr>
            <w:tcW w:type="dxa" w:w="2880"/>
          </w:tcPr>
          <w:p>
            <w:r>
              <w:rPr>
                <w:color w:val="1A1C1E"/>
                <w:sz w:val="18"/>
              </w:rPr>
              <w:t>Database</w:t>
            </w:r>
          </w:p>
        </w:tc>
        <w:tc>
          <w:tcPr>
            <w:tcW w:type="dxa" w:w="2880"/>
          </w:tcPr>
          <w:p>
            <w:r>
              <w:rPr>
                <w:color w:val="1A1C1E"/>
                <w:sz w:val="18"/>
              </w:rPr>
              <w:t>PostgreSQL (Supabase)</w:t>
            </w:r>
          </w:p>
        </w:tc>
        <w:tc>
          <w:tcPr>
            <w:tcW w:type="dxa" w:w="2880"/>
          </w:tcPr>
          <w:p>
            <w:r>
              <w:rPr>
                <w:color w:val="1A1C1E"/>
                <w:sz w:val="18"/>
              </w:rPr>
              <w:t>—</w:t>
            </w:r>
          </w:p>
        </w:tc>
      </w:tr>
      <w:tr>
        <w:tc>
          <w:tcPr>
            <w:tcW w:type="dxa" w:w="2880"/>
          </w:tcPr>
          <w:p>
            <w:r>
              <w:rPr>
                <w:color w:val="1A1C1E"/>
                <w:sz w:val="18"/>
              </w:rPr>
              <w:t>Migrations</w:t>
            </w:r>
          </w:p>
        </w:tc>
        <w:tc>
          <w:tcPr>
            <w:tcW w:type="dxa" w:w="2880"/>
          </w:tcPr>
          <w:p>
            <w:r>
              <w:rPr>
                <w:color w:val="1A1C1E"/>
                <w:sz w:val="18"/>
              </w:rPr>
              <w:t>Alembic</w:t>
            </w:r>
          </w:p>
        </w:tc>
        <w:tc>
          <w:tcPr>
            <w:tcW w:type="dxa" w:w="2880"/>
          </w:tcPr>
          <w:p>
            <w:r>
              <w:rPr>
                <w:color w:val="1A1C1E"/>
                <w:sz w:val="18"/>
              </w:rPr>
              <w:t>1.18.4</w:t>
            </w:r>
          </w:p>
        </w:tc>
      </w:tr>
      <w:tr>
        <w:tc>
          <w:tcPr>
            <w:tcW w:type="dxa" w:w="2880"/>
          </w:tcPr>
          <w:p>
            <w:r>
              <w:rPr>
                <w:color w:val="1A1C1E"/>
                <w:sz w:val="18"/>
              </w:rPr>
              <w:t>JWT / Auth</w:t>
            </w:r>
          </w:p>
        </w:tc>
        <w:tc>
          <w:tcPr>
            <w:tcW w:type="dxa" w:w="2880"/>
          </w:tcPr>
          <w:p>
            <w:r>
              <w:rPr>
                <w:color w:val="1A1C1E"/>
                <w:sz w:val="18"/>
              </w:rPr>
              <w:t>python-jose + passlib (bcrypt)</w:t>
            </w:r>
          </w:p>
        </w:tc>
        <w:tc>
          <w:tcPr>
            <w:tcW w:type="dxa" w:w="2880"/>
          </w:tcPr>
          <w:p>
            <w:r>
              <w:rPr>
                <w:color w:val="1A1C1E"/>
                <w:sz w:val="18"/>
              </w:rPr>
              <w:t>3.5.0 / 1.7.4</w:t>
            </w:r>
          </w:p>
        </w:tc>
      </w:tr>
      <w:tr>
        <w:tc>
          <w:tcPr>
            <w:tcW w:type="dxa" w:w="2880"/>
          </w:tcPr>
          <w:p>
            <w:r>
              <w:rPr>
                <w:color w:val="1A1C1E"/>
                <w:sz w:val="18"/>
              </w:rPr>
              <w:t>ML / Analysis</w:t>
            </w:r>
          </w:p>
        </w:tc>
        <w:tc>
          <w:tcPr>
            <w:tcW w:type="dxa" w:w="2880"/>
          </w:tcPr>
          <w:p>
            <w:r>
              <w:rPr>
                <w:color w:val="1A1C1E"/>
                <w:sz w:val="18"/>
              </w:rPr>
              <w:t>scikit-learn, pandas, numpy</w:t>
            </w:r>
          </w:p>
        </w:tc>
        <w:tc>
          <w:tcPr>
            <w:tcW w:type="dxa" w:w="2880"/>
          </w:tcPr>
          <w:p>
            <w:r>
              <w:rPr>
                <w:color w:val="1A1C1E"/>
                <w:sz w:val="18"/>
              </w:rPr>
              <w:t>1.5.0 / 2.2.0 / 1.26.0</w:t>
            </w:r>
          </w:p>
        </w:tc>
      </w:tr>
      <w:tr>
        <w:tc>
          <w:tcPr>
            <w:tcW w:type="dxa" w:w="2880"/>
          </w:tcPr>
          <w:p>
            <w:r>
              <w:rPr>
                <w:color w:val="1A1C1E"/>
                <w:sz w:val="18"/>
              </w:rPr>
              <w:t>Deployment</w:t>
            </w:r>
          </w:p>
        </w:tc>
        <w:tc>
          <w:tcPr>
            <w:tcW w:type="dxa" w:w="2880"/>
          </w:tcPr>
          <w:p>
            <w:r>
              <w:rPr>
                <w:color w:val="1A1C1E"/>
                <w:sz w:val="18"/>
              </w:rPr>
              <w:t>Render (backend) + Vercel (frontend)</w:t>
            </w:r>
          </w:p>
        </w:tc>
        <w:tc>
          <w:tcPr>
            <w:tcW w:type="dxa" w:w="2880"/>
          </w:tcPr>
          <w:p>
            <w:r>
              <w:rPr>
                <w:color w:val="1A1C1E"/>
                <w:sz w:val="18"/>
              </w:rPr>
              <w:t>—</w:t>
            </w:r>
          </w:p>
        </w:tc>
      </w:tr>
    </w:tbl>
    <w:p/>
    <w:p>
      <w:pPr>
        <w:pStyle w:val="Heading2"/>
      </w:pPr>
      <w:r>
        <w:t>2.2 Monorepo Structure</w:t>
      </w:r>
    </w:p>
    <w:p>
      <w:r>
        <w:t>The repository is organised into the following top-level directories:</w:t>
      </w:r>
    </w:p>
    <w:p>
      <w:pPr>
        <w:pStyle w:val="ListBullet"/>
        <w:spacing w:after="20"/>
      </w:pPr>
      <w:r>
        <w:t>src/app/ — Expo Router file-based routes (login, register, tabs dashboard, predict, prices, profile, survey).</w:t>
      </w:r>
    </w:p>
    <w:p>
      <w:pPr>
        <w:pStyle w:val="ListBullet"/>
        <w:spacing w:after="20"/>
      </w:pPr>
      <w:r>
        <w:t>src/components/ — Reusable UI components (ThemedText, ThemedView, Collapsible, etc.).</w:t>
      </w:r>
    </w:p>
    <w:p>
      <w:pPr>
        <w:pStyle w:val="ListBullet"/>
        <w:spacing w:after="20"/>
      </w:pPr>
      <w:r>
        <w:t>src/services/ — API client and auth token management.</w:t>
      </w:r>
    </w:p>
    <w:p>
      <w:pPr>
        <w:pStyle w:val="ListBullet"/>
        <w:spacing w:after="20"/>
      </w:pPr>
      <w:r>
        <w:t>src/theme/ — Azure Clarity Gluestack UI configuration.</w:t>
      </w:r>
    </w:p>
    <w:p>
      <w:pPr>
        <w:pStyle w:val="ListBullet"/>
        <w:spacing w:after="20"/>
      </w:pPr>
      <w:r>
        <w:t>src/constants/ — Color maps, fonts, spacing tokens.</w:t>
      </w:r>
    </w:p>
    <w:p>
      <w:pPr>
        <w:pStyle w:val="ListBullet"/>
        <w:spacing w:after="20"/>
      </w:pPr>
      <w:r>
        <w:t>backend/ — FastAPI application (main.py, routes/, models/, services/, db/).</w:t>
      </w:r>
    </w:p>
    <w:p>
      <w:pPr>
        <w:pStyle w:val="ListBullet"/>
        <w:spacing w:after="20"/>
      </w:pPr>
      <w:r>
        <w:t>backend/routes/ — HTTP endpoint definitions (auth, dashboard, predict, surveys).</w:t>
      </w:r>
    </w:p>
    <w:p>
      <w:pPr>
        <w:pStyle w:val="ListBullet"/>
        <w:spacing w:after="20"/>
      </w:pPr>
      <w:r>
        <w:t>backend/models/ — SQLAlchemy ORM models (User, FuelPrice, Recommendation, Survey).</w:t>
      </w:r>
    </w:p>
    <w:p>
      <w:pPr>
        <w:pStyle w:val="ListBullet"/>
        <w:spacing w:after="20"/>
      </w:pPr>
      <w:r>
        <w:t>backend/services/ — Business logic layer (auth with JWT/bcrypt).</w:t>
      </w:r>
    </w:p>
    <w:p>
      <w:pPr>
        <w:pStyle w:val="ListBullet"/>
        <w:spacing w:after="20"/>
      </w:pPr>
      <w:r>
        <w:t>backend/db/ — Database engine and session factory.</w:t>
      </w:r>
    </w:p>
    <w:p>
      <w:pPr>
        <w:pStyle w:val="ListBullet"/>
        <w:spacing w:after="20"/>
      </w:pPr>
      <w:r>
        <w:t>backend/ml/ — Placeholder directory for future ML models.</w:t>
      </w:r>
    </w:p>
    <w:p>
      <w:pPr>
        <w:pStyle w:val="ListBullet"/>
        <w:spacing w:after="20"/>
      </w:pPr>
      <w:r>
        <w:t>database/ — Raw SQL schema and migration files.</w:t>
      </w:r>
    </w:p>
    <w:p>
      <w:pPr>
        <w:pStyle w:val="ListBullet"/>
        <w:spacing w:after="20"/>
      </w:pPr>
      <w:r>
        <w:t>ui_sample/ — Design references and screen prototypes.</w:t>
      </w:r>
    </w:p>
    <w:p>
      <w:pPr>
        <w:pStyle w:val="Heading1"/>
      </w:pPr>
      <w:r>
        <w:t>3. Frontend Architecture</w:t>
      </w:r>
    </w:p>
    <w:p>
      <w:pPr>
        <w:pStyle w:val="Heading2"/>
      </w:pPr>
      <w:r>
        <w:t>3.1 File-Based Routing (Expo Router)</w:t>
      </w:r>
    </w:p>
    <w:p>
      <w:r>
        <w:t>AstraFlow uses Expo Router's file-based routing convention. Every file under src/app/ automatically becomes a route. The (tabs) directory group creates a bottom tab navigator, while standalone screens handle authentication and survey flows.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Route</w:t>
            </w:r>
          </w:p>
        </w:tc>
        <w:tc>
          <w:tcPr>
            <w:tcW w:type="dxa" w:w="2880"/>
            <w:shd w:fill="003087" w:val="clear"/>
          </w:tcPr>
          <w:p>
            <w:r>
              <w:rPr>
                <w:b/>
                <w:color w:val="FFFFFF"/>
                <w:sz w:val="18"/>
              </w:rPr>
              <w:t>File</w:t>
            </w:r>
          </w:p>
        </w:tc>
        <w:tc>
          <w:tcPr>
            <w:tcW w:type="dxa" w:w="2880"/>
            <w:shd w:fill="003087" w:val="clear"/>
          </w:tcPr>
          <w:p>
            <w:r>
              <w:rPr>
                <w:b/>
                <w:color w:val="FFFFFF"/>
                <w:sz w:val="18"/>
              </w:rPr>
              <w:t>Purpose</w:t>
            </w:r>
          </w:p>
        </w:tc>
      </w:tr>
      <w:tr>
        <w:tc>
          <w:tcPr>
            <w:tcW w:type="dxa" w:w="2880"/>
          </w:tcPr>
          <w:p>
            <w:r>
              <w:rPr>
                <w:color w:val="1A1C1E"/>
                <w:sz w:val="18"/>
              </w:rPr>
              <w:t>/</w:t>
            </w:r>
          </w:p>
        </w:tc>
        <w:tc>
          <w:tcPr>
            <w:tcW w:type="dxa" w:w="2880"/>
          </w:tcPr>
          <w:p>
            <w:r>
              <w:rPr>
                <w:color w:val="1A1C1E"/>
                <w:sz w:val="18"/>
              </w:rPr>
              <w:t>_layout.tsx</w:t>
            </w:r>
          </w:p>
        </w:tc>
        <w:tc>
          <w:tcPr>
            <w:tcW w:type="dxa" w:w="2880"/>
          </w:tcPr>
          <w:p>
            <w:r>
              <w:rPr>
                <w:color w:val="1A1C1E"/>
                <w:sz w:val="18"/>
              </w:rPr>
              <w:t>Root layout, splash screen, auth guard, GluestackUI provider</w:t>
            </w:r>
          </w:p>
        </w:tc>
      </w:tr>
      <w:tr>
        <w:tc>
          <w:tcPr>
            <w:tcW w:type="dxa" w:w="2880"/>
          </w:tcPr>
          <w:p>
            <w:r>
              <w:rPr>
                <w:color w:val="1A1C1E"/>
                <w:sz w:val="18"/>
              </w:rPr>
              <w:t>/login</w:t>
            </w:r>
          </w:p>
        </w:tc>
        <w:tc>
          <w:tcPr>
            <w:tcW w:type="dxa" w:w="2880"/>
          </w:tcPr>
          <w:p>
            <w:r>
              <w:rPr>
                <w:color w:val="1A1C1E"/>
                <w:sz w:val="18"/>
              </w:rPr>
              <w:t>login.tsx</w:t>
            </w:r>
          </w:p>
        </w:tc>
        <w:tc>
          <w:tcPr>
            <w:tcW w:type="dxa" w:w="2880"/>
          </w:tcPr>
          <w:p>
            <w:r>
              <w:rPr>
                <w:color w:val="1A1C1E"/>
                <w:sz w:val="18"/>
              </w:rPr>
              <w:t>Email/password login form with validation</w:t>
            </w:r>
          </w:p>
        </w:tc>
      </w:tr>
      <w:tr>
        <w:tc>
          <w:tcPr>
            <w:tcW w:type="dxa" w:w="2880"/>
          </w:tcPr>
          <w:p>
            <w:r>
              <w:rPr>
                <w:color w:val="1A1C1E"/>
                <w:sz w:val="18"/>
              </w:rPr>
              <w:t>/register</w:t>
            </w:r>
          </w:p>
        </w:tc>
        <w:tc>
          <w:tcPr>
            <w:tcW w:type="dxa" w:w="2880"/>
          </w:tcPr>
          <w:p>
            <w:r>
              <w:rPr>
                <w:color w:val="1A1C1E"/>
                <w:sz w:val="18"/>
              </w:rPr>
              <w:t>register.tsx</w:t>
            </w:r>
          </w:p>
        </w:tc>
        <w:tc>
          <w:tcPr>
            <w:tcW w:type="dxa" w:w="2880"/>
          </w:tcPr>
          <w:p>
            <w:r>
              <w:rPr>
                <w:color w:val="1A1C1E"/>
                <w:sz w:val="18"/>
              </w:rPr>
              <w:t>Registration with business type chip selector</w:t>
            </w:r>
          </w:p>
        </w:tc>
      </w:tr>
      <w:tr>
        <w:tc>
          <w:tcPr>
            <w:tcW w:type="dxa" w:w="2880"/>
          </w:tcPr>
          <w:p>
            <w:r>
              <w:rPr>
                <w:color w:val="1A1C1E"/>
                <w:sz w:val="18"/>
              </w:rPr>
              <w:t>/ (tabs index)</w:t>
            </w:r>
          </w:p>
        </w:tc>
        <w:tc>
          <w:tcPr>
            <w:tcW w:type="dxa" w:w="2880"/>
          </w:tcPr>
          <w:p>
            <w:r>
              <w:rPr>
                <w:color w:val="1A1C1E"/>
                <w:sz w:val="18"/>
              </w:rPr>
              <w:t>(tabs)/index.tsx</w:t>
            </w:r>
          </w:p>
        </w:tc>
        <w:tc>
          <w:tcPr>
            <w:tcW w:type="dxa" w:w="2880"/>
          </w:tcPr>
          <w:p>
            <w:r>
              <w:rPr>
                <w:color w:val="1A1C1E"/>
                <w:sz w:val="18"/>
              </w:rPr>
              <w:t>Dashboard — prices, trends, risk, recommendations</w:t>
            </w:r>
          </w:p>
        </w:tc>
      </w:tr>
      <w:tr>
        <w:tc>
          <w:tcPr>
            <w:tcW w:type="dxa" w:w="2880"/>
          </w:tcPr>
          <w:p>
            <w:r>
              <w:rPr>
                <w:color w:val="1A1C1E"/>
                <w:sz w:val="18"/>
              </w:rPr>
              <w:t>/prices</w:t>
            </w:r>
          </w:p>
        </w:tc>
        <w:tc>
          <w:tcPr>
            <w:tcW w:type="dxa" w:w="2880"/>
          </w:tcPr>
          <w:p>
            <w:r>
              <w:rPr>
                <w:color w:val="1A1C1E"/>
                <w:sz w:val="18"/>
              </w:rPr>
              <w:t>(tabs)/prices.tsx</w:t>
            </w:r>
          </w:p>
        </w:tc>
        <w:tc>
          <w:tcPr>
            <w:tcW w:type="dxa" w:w="2880"/>
          </w:tcPr>
          <w:p>
            <w:r>
              <w:rPr>
                <w:color w:val="1A1C1E"/>
                <w:sz w:val="18"/>
              </w:rPr>
              <w:t>7-day price history horizontal bar chart</w:t>
            </w:r>
          </w:p>
        </w:tc>
      </w:tr>
      <w:tr>
        <w:tc>
          <w:tcPr>
            <w:tcW w:type="dxa" w:w="2880"/>
          </w:tcPr>
          <w:p>
            <w:r>
              <w:rPr>
                <w:color w:val="1A1C1E"/>
                <w:sz w:val="18"/>
              </w:rPr>
              <w:t>/predict</w:t>
            </w:r>
          </w:p>
        </w:tc>
        <w:tc>
          <w:tcPr>
            <w:tcW w:type="dxa" w:w="2880"/>
          </w:tcPr>
          <w:p>
            <w:r>
              <w:rPr>
                <w:color w:val="1A1C1E"/>
                <w:sz w:val="18"/>
              </w:rPr>
              <w:t>(tabs)/predict.tsx</w:t>
            </w:r>
          </w:p>
        </w:tc>
        <w:tc>
          <w:tcPr>
            <w:tcW w:type="dxa" w:w="2880"/>
          </w:tcPr>
          <w:p>
            <w:r>
              <w:rPr>
                <w:color w:val="1A1C1E"/>
                <w:sz w:val="18"/>
              </w:rPr>
              <w:t>Consumption cost and carbon footprint calculator</w:t>
            </w:r>
          </w:p>
        </w:tc>
      </w:tr>
      <w:tr>
        <w:tc>
          <w:tcPr>
            <w:tcW w:type="dxa" w:w="2880"/>
          </w:tcPr>
          <w:p>
            <w:r>
              <w:rPr>
                <w:color w:val="1A1C1E"/>
                <w:sz w:val="18"/>
              </w:rPr>
              <w:t>/profile</w:t>
            </w:r>
          </w:p>
        </w:tc>
        <w:tc>
          <w:tcPr>
            <w:tcW w:type="dxa" w:w="2880"/>
          </w:tcPr>
          <w:p>
            <w:r>
              <w:rPr>
                <w:color w:val="1A1C1E"/>
                <w:sz w:val="18"/>
              </w:rPr>
              <w:t>(tabs)/profile.tsx</w:t>
            </w:r>
          </w:p>
        </w:tc>
        <w:tc>
          <w:tcPr>
            <w:tcW w:type="dxa" w:w="2880"/>
          </w:tcPr>
          <w:p>
            <w:r>
              <w:rPr>
                <w:color w:val="1A1C1E"/>
                <w:sz w:val="18"/>
              </w:rPr>
              <w:t>User account info and logout</w:t>
            </w:r>
          </w:p>
        </w:tc>
      </w:tr>
      <w:tr>
        <w:tc>
          <w:tcPr>
            <w:tcW w:type="dxa" w:w="2880"/>
          </w:tcPr>
          <w:p>
            <w:r>
              <w:rPr>
                <w:color w:val="1A1C1E"/>
                <w:sz w:val="18"/>
              </w:rPr>
              <w:t>/survey</w:t>
            </w:r>
          </w:p>
        </w:tc>
        <w:tc>
          <w:tcPr>
            <w:tcW w:type="dxa" w:w="2880"/>
          </w:tcPr>
          <w:p>
            <w:r>
              <w:rPr>
                <w:color w:val="1A1C1E"/>
                <w:sz w:val="18"/>
              </w:rPr>
              <w:t>survey.tsx</w:t>
            </w:r>
          </w:p>
        </w:tc>
        <w:tc>
          <w:tcPr>
            <w:tcW w:type="dxa" w:w="2880"/>
          </w:tcPr>
          <w:p>
            <w:r>
              <w:rPr>
                <w:color w:val="1A1C1E"/>
                <w:sz w:val="18"/>
              </w:rPr>
              <w:t>4-step multi-part fuel impact survey form</w:t>
            </w:r>
          </w:p>
        </w:tc>
      </w:tr>
    </w:tbl>
    <w:p/>
    <w:p>
      <w:pPr>
        <w:pStyle w:val="Heading2"/>
      </w:pPr>
      <w:r>
        <w:t>3.2 Root Layout &amp; Protected Route Guard</w:t>
      </w:r>
    </w:p>
    <w:p>
      <w:r>
        <w:t>The root _layout.tsx is the entry point for the entire application. It performs two critical functions:</w:t>
      </w:r>
    </w:p>
    <w:p>
      <w:pPr>
        <w:pStyle w:val="ListBullet"/>
      </w:pPr>
      <w:r>
        <w:t>Splash Screen: Renders the AstraFlow brand (logo, tagline, animated dots, 'Secure &amp; Efficient' footer) for a fixed 1500ms delay, providing a polished launch experience.</w:t>
      </w:r>
    </w:p>
    <w:p>
      <w:pPr>
        <w:pStyle w:val="ListBullet"/>
      </w:pPr>
      <w:r>
        <w:t>useProtectedRoute(): A custom hook that reads the current route segment via useSegments() and checks isAuthenticated() from localStorage. If the user is unauthenticated and not on a login/register screen, they are redirected to /login. If authenticated and on an auth screen, they are redirected to the tabs dashboard. The hook runs exactly once using a 'checked' state flag to prevent infinite re-render loops.</w:t>
      </w:r>
    </w:p>
    <w:p>
      <w:pPr>
        <w:spacing w:before="80" w:after="80"/>
        <w:ind w:left="283"/>
        <w:shd w:fill="f3f3f6" w:val="clear"/>
      </w:pPr>
      <w:r>
        <w:rPr>
          <w:rFonts w:ascii="Courier New" w:hAnsi="Courier New"/>
          <w:color w:val="1E1E1E"/>
          <w:sz w:val="16"/>
        </w:rPr>
        <w:t>function useProtectedRoute() {</w:t>
        <w:br/>
        <w:t xml:space="preserve">  const segments = useSegments();</w:t>
        <w:br/>
        <w:t xml:space="preserve">  const router = useRouter();</w:t>
        <w:br/>
        <w:t xml:space="preserve">  const [checked, setChecked] = useState(false);</w:t>
        <w:br/>
        <w:t xml:space="preserve">  useEffect(() =&gt; {</w:t>
        <w:br/>
        <w:t xml:space="preserve">    if (checked) return;</w:t>
        <w:br/>
        <w:t xml:space="preserve">    const inAuthGroup = segments[0] === 'login' || segments[0] === 'register';</w:t>
        <w:br/>
        <w:t xml:space="preserve">    if (!isAuthenticated() &amp;&amp; !inAuthGroup) router.replace('/login');</w:t>
        <w:br/>
        <w:t xml:space="preserve">    else if (isAuthenticated() &amp;&amp; inAuthGroup) router.replace('/');</w:t>
        <w:br/>
        <w:t xml:space="preserve">    setChecked(true);</w:t>
        <w:br/>
        <w:t xml:space="preserve">  }, [segments, checked, router]);</w:t>
        <w:br/>
        <w:t xml:space="preserve">  return checked;</w:t>
        <w:br/>
        <w:t>}</w:t>
      </w:r>
    </w:p>
    <w:p>
      <w:pPr>
        <w:pStyle w:val="Heading2"/>
      </w:pPr>
      <w:r>
        <w:t>3.3 API Client Layer</w:t>
      </w:r>
    </w:p>
    <w:p>
      <w:r>
        <w:t>The API client (src/services/api.ts) wraps the native fetch API into a typed, error-handled abstraction. Key behaviours:</w:t>
      </w:r>
    </w:p>
    <w:p>
      <w:pPr>
        <w:pStyle w:val="ListBullet"/>
      </w:pPr>
      <w:r>
        <w:t>Auto-injects Authorization: Bearer {token} header on every request when a token is present.</w:t>
      </w:r>
    </w:p>
    <w:p>
      <w:pPr>
        <w:pStyle w:val="ListBullet"/>
      </w:pPr>
      <w:r>
        <w:t>401 handling: If the server responds with 401 (Unauthorized), the client automatically clears the stored token and throws an ApiError with status 401, enabling upstream redirection to /login.</w:t>
      </w:r>
    </w:p>
    <w:p>
      <w:pPr>
        <w:pStyle w:val="ListBullet"/>
      </w:pPr>
      <w:r>
        <w:t>Custom ApiError class: Carries both an HTTP status code and a detail message, providing structured error information to UI components.</w:t>
      </w:r>
    </w:p>
    <w:p>
      <w:pPr>
        <w:pStyle w:val="ListBullet"/>
      </w:pPr>
      <w:r>
        <w:t>Typed namespaces: The exported api object organises endpoints into logical namespaces (api.auth, api.dashboard, api.predict, api.surveys) with full TypeScript generics for compile-time type safety.</w:t>
      </w:r>
    </w:p>
    <w:p>
      <w:pPr>
        <w:pStyle w:val="Heading2"/>
      </w:pPr>
      <w:r>
        <w:t>3.4 Auth Service (Frontend)</w:t>
      </w:r>
    </w:p>
    <w:p>
      <w:r>
        <w:t>Token and user data are persisted in localStorage (web) under the keys astraflow_token and astraflow_user. The service provides getToken(), setToken(), clearToken(), getUser(), setUser(), and isAuthenticated(). Storage access is platform-aware — on native mobile, getStorage() returns null, effectively making auth web-only in the current implementation.</w:t>
      </w:r>
    </w:p>
    <w:p>
      <w:pPr>
        <w:pStyle w:val="Heading2"/>
      </w:pPr>
      <w:r>
        <w:t>3.5 Azure Clarity Design System</w:t>
      </w:r>
    </w:p>
    <w:p>
      <w:r>
        <w:t>The Azure Clarity design system (src/theme/azure-clarity.ts) is a full Gluestack UI configuration defining the visual language of the application. Its principles are 'high-clarity minimalism' and 'trustworthy professionalism'.</w:t>
      </w:r>
    </w:p>
    <w:p>
      <w:pPr>
        <w:pStyle w:val="ListBullet"/>
      </w:pPr>
      <w:r>
        <w:t>Primary colour palette: Deep Blue (#003087) and Pure White (#ffffff), with tonal surface layers. Fuel-specific semantic colours: price-increase (#d32f2f, red) and price-decrease (#2e7d32, green).</w:t>
      </w:r>
    </w:p>
    <w:p>
      <w:pPr>
        <w:pStyle w:val="ListBullet"/>
      </w:pPr>
      <w:r>
        <w:t>Typography: Work Sans for headings, Inter for body text, monospace for code elements.</w:t>
      </w:r>
    </w:p>
    <w:p>
      <w:pPr>
        <w:pStyle w:val="ListBullet"/>
      </w:pPr>
      <w:r>
        <w:t>Spacing: 4px baseline grid (base=4, xs=8, sm=12, md=16, lg=24, xl=32).</w:t>
      </w:r>
    </w:p>
    <w:p>
      <w:pPr>
        <w:pStyle w:val="ListBullet"/>
      </w:pPr>
      <w:r>
        <w:t>Radii: Soft corners — sm=4px, md=8px, lg=12px, xl=16px.</w:t>
      </w:r>
    </w:p>
    <w:p>
      <w:pPr>
        <w:pStyle w:val="ListBullet"/>
      </w:pPr>
      <w:r>
        <w:t>Breakpoints: Responsive layout — base=0, sm=480, md=768, lg=992, xl=1200.</w:t>
      </w:r>
    </w:p>
    <w:p>
      <w:pPr>
        <w:pStyle w:val="ListBullet"/>
      </w:pPr>
      <w:r>
        <w:t>Tonal layering: Depth is achieved through surface colour variants (surface-dim, surface-container-low, surface-container, surface-container-high, surface-container-highest) rather than heavy shadows, producing a clean, modern aesthetic.</w:t>
      </w:r>
    </w:p>
    <w:p>
      <w:pPr>
        <w:pStyle w:val="Heading1"/>
      </w:pPr>
      <w:r>
        <w:t>4. Backend Architecture</w:t>
      </w:r>
    </w:p>
    <w:p>
      <w:pPr>
        <w:pStyle w:val="Heading2"/>
      </w:pPr>
      <w:r>
        <w:t>4.1 Application Entry &amp; Lifespan</w:t>
      </w:r>
    </w:p>
    <w:p>
      <w:r>
        <w:t>The FastAPI application (backend/main.py) initialises with an async lifespan context manager that calls init_db() on startup to auto-create database tables via SQLAlchemy's Base.metadata.create_all(). CORS middleware allows all origins during development. Four routers are registered: auth, dashboard, predict, and surveys, plus a /api/health endpoint.</w:t>
      </w:r>
    </w:p>
    <w:p>
      <w:pPr>
        <w:pStyle w:val="Heading2"/>
      </w:pPr>
      <w:r>
        <w:t>4.2 Database Layer</w:t>
      </w:r>
    </w:p>
    <w:p>
      <w:r>
        <w:t>The database module (backend/db/database.py) manages a SQLAlchemy engine connected to a Supabase PostgreSQL instance. The connection is configured with pool_pre_ping=True for connection health checks, a pool_size of 5, and max_overflow of 10. The get_db() generator is used as a FastAPI dependency, yielding a session per request and closing it in the finally block.</w:t>
      </w:r>
    </w:p>
    <w:p>
      <w:pPr>
        <w:pStyle w:val="Heading2"/>
      </w:pPr>
      <w:r>
        <w:t>4.3 ORM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Model</w:t>
            </w:r>
          </w:p>
        </w:tc>
        <w:tc>
          <w:tcPr>
            <w:tcW w:type="dxa" w:w="2880"/>
            <w:shd w:fill="003087" w:val="clear"/>
          </w:tcPr>
          <w:p>
            <w:r>
              <w:rPr>
                <w:b/>
                <w:color w:val="FFFFFF"/>
                <w:sz w:val="18"/>
              </w:rPr>
              <w:t>Table</w:t>
            </w:r>
          </w:p>
        </w:tc>
        <w:tc>
          <w:tcPr>
            <w:tcW w:type="dxa" w:w="2880"/>
            <w:shd w:fill="003087" w:val="clear"/>
          </w:tcPr>
          <w:p>
            <w:r>
              <w:rPr>
                <w:b/>
                <w:color w:val="FFFFFF"/>
                <w:sz w:val="18"/>
              </w:rPr>
              <w:t>Key Fields</w:t>
            </w:r>
          </w:p>
        </w:tc>
      </w:tr>
      <w:tr>
        <w:tc>
          <w:tcPr>
            <w:tcW w:type="dxa" w:w="2880"/>
          </w:tcPr>
          <w:p>
            <w:r>
              <w:rPr>
                <w:color w:val="1A1C1E"/>
                <w:sz w:val="18"/>
              </w:rPr>
              <w:t>User</w:t>
            </w:r>
          </w:p>
        </w:tc>
        <w:tc>
          <w:tcPr>
            <w:tcW w:type="dxa" w:w="2880"/>
          </w:tcPr>
          <w:p>
            <w:r>
              <w:rPr>
                <w:color w:val="1A1C1E"/>
                <w:sz w:val="18"/>
              </w:rPr>
              <w:t>users</w:t>
            </w:r>
          </w:p>
        </w:tc>
        <w:tc>
          <w:tcPr>
            <w:tcW w:type="dxa" w:w="2880"/>
          </w:tcPr>
          <w:p>
            <w:r>
              <w:rPr>
                <w:color w:val="1A1C1E"/>
                <w:sz w:val="18"/>
              </w:rPr>
              <w:t>id (UUID PK), email (unique, indexed), password_hash, full_name, business_type (Enum)</w:t>
            </w:r>
          </w:p>
        </w:tc>
      </w:tr>
      <w:tr>
        <w:tc>
          <w:tcPr>
            <w:tcW w:type="dxa" w:w="2880"/>
          </w:tcPr>
          <w:p>
            <w:r>
              <w:rPr>
                <w:color w:val="1A1C1E"/>
                <w:sz w:val="18"/>
              </w:rPr>
              <w:t>FuelPrice</w:t>
            </w:r>
          </w:p>
        </w:tc>
        <w:tc>
          <w:tcPr>
            <w:tcW w:type="dxa" w:w="2880"/>
          </w:tcPr>
          <w:p>
            <w:r>
              <w:rPr>
                <w:color w:val="1A1C1E"/>
                <w:sz w:val="18"/>
              </w:rPr>
              <w:t>fuel_prices</w:t>
            </w:r>
          </w:p>
        </w:tc>
        <w:tc>
          <w:tcPr>
            <w:tcW w:type="dxa" w:w="2880"/>
          </w:tcPr>
          <w:p>
            <w:r>
              <w:rPr>
                <w:color w:val="1A1C1E"/>
                <w:sz w:val="18"/>
              </w:rPr>
              <w:t>id (serial PK), date (indexed), fuel_type, price (Numeric)</w:t>
            </w:r>
          </w:p>
        </w:tc>
      </w:tr>
      <w:tr>
        <w:tc>
          <w:tcPr>
            <w:tcW w:type="dxa" w:w="2880"/>
          </w:tcPr>
          <w:p>
            <w:r>
              <w:rPr>
                <w:color w:val="1A1C1E"/>
                <w:sz w:val="18"/>
              </w:rPr>
              <w:t>Recommendation</w:t>
            </w:r>
          </w:p>
        </w:tc>
        <w:tc>
          <w:tcPr>
            <w:tcW w:type="dxa" w:w="2880"/>
          </w:tcPr>
          <w:p>
            <w:r>
              <w:rPr>
                <w:color w:val="1A1C1E"/>
                <w:sz w:val="18"/>
              </w:rPr>
              <w:t>recommendations</w:t>
            </w:r>
          </w:p>
        </w:tc>
        <w:tc>
          <w:tcPr>
            <w:tcW w:type="dxa" w:w="2880"/>
          </w:tcPr>
          <w:p>
            <w:r>
              <w:rPr>
                <w:color w:val="1A1C1E"/>
                <w:sz w:val="18"/>
              </w:rPr>
              <w:t>id (serial PK), business_type (Enum), content, risk_level, valid_from, valid_to</w:t>
            </w:r>
          </w:p>
        </w:tc>
      </w:tr>
      <w:tr>
        <w:tc>
          <w:tcPr>
            <w:tcW w:type="dxa" w:w="2880"/>
          </w:tcPr>
          <w:p>
            <w:r>
              <w:rPr>
                <w:color w:val="1A1C1E"/>
                <w:sz w:val="18"/>
              </w:rPr>
              <w:t>Survey</w:t>
            </w:r>
          </w:p>
        </w:tc>
        <w:tc>
          <w:tcPr>
            <w:tcW w:type="dxa" w:w="2880"/>
          </w:tcPr>
          <w:p>
            <w:r>
              <w:rPr>
                <w:color w:val="1A1C1E"/>
                <w:sz w:val="18"/>
              </w:rPr>
              <w:t>surveys</w:t>
            </w:r>
          </w:p>
        </w:tc>
        <w:tc>
          <w:tcPr>
            <w:tcW w:type="dxa" w:w="2880"/>
          </w:tcPr>
          <w:p>
            <w:r>
              <w:rPr>
                <w:color w:val="1A1C1E"/>
                <w:sz w:val="18"/>
              </w:rPr>
              <w:t>id (serial PK), user_id (FK→users), business_type, monthly_fuel_spend, impact_level, concern_areas (ARRAY), comments</w:t>
            </w:r>
          </w:p>
        </w:tc>
      </w:tr>
    </w:tbl>
    <w:p/>
    <w:p>
      <w:r>
        <w:t>The BusinessType enum defines five business categories: restaurant, taxi, delivery, retail, and logistics. This enum is used across User, Recommendation, and Survey models for consistent business-type personalisation.</w:t>
      </w:r>
    </w:p>
    <w:p>
      <w:pPr>
        <w:pStyle w:val="Heading2"/>
      </w:pPr>
      <w:r>
        <w:t>4.4 Route Modules</w:t>
      </w:r>
    </w:p>
    <w:p>
      <w:pPr>
        <w:pStyle w:val="Heading3"/>
      </w:pPr>
      <w:r>
        <w:t>Auth Routes (backend/routes/auth.py)</w:t>
      </w:r>
    </w:p>
    <w:p>
      <w:r>
        <w:t>POST /api/auth/register: Validates the business_type against the BusinessType enum, checks for duplicate email, creates a new User with a bcrypt-hashed password, generates a JWT token, and returns both token and user metadata.</w:t>
      </w:r>
    </w:p>
    <w:p>
      <w:r>
        <w:t>POST /api/auth/login: Queries the user by email, verifies the password against the stored hash using bcrypt, generates a JWT token on success, and returns the token with user metadata.</w:t>
      </w:r>
    </w:p>
    <w:p>
      <w:pPr>
        <w:pStyle w:val="Heading3"/>
      </w:pPr>
      <w:r>
        <w:t>Dashboard Routes (backend/routes/dashboard.py)</w:t>
      </w:r>
    </w:p>
    <w:p>
      <w:r>
        <w:t>GET /api/dashboard: Protected by the get_current_user() dependency which extracts the Bearer token from the Authorization header, decodes it via python-jose, queries the user from the database, and injects the User object into the route handler. The dashboard returns current petrol/diesel prices, trend directions, a personalised recommendation (looked up from a RECOMMENDATIONS dictionary keyed by BusinessType), risk level, impact score, and a market update message.</w:t>
      </w:r>
    </w:p>
    <w:p>
      <w:pPr>
        <w:pStyle w:val="Heading3"/>
      </w:pPr>
      <w:r>
        <w:t>Predict Routes (backend/routes/predict.py)</w:t>
      </w:r>
    </w:p>
    <w:p>
      <w:r>
        <w:t>GET /api/predict?liters=X: Protected route that takes a litres query parameter (must be &gt; 0). Computes total cost, carbon footprint, and future projected loss using hardcoded constants. Returns structured prediction data including a boolean price_alert flag and alert message.</w:t>
      </w:r>
    </w:p>
    <w:p>
      <w:pPr>
        <w:pStyle w:val="Heading3"/>
      </w:pPr>
      <w:r>
        <w:t>Survey Routes (backend/routes/surveys.py)</w:t>
      </w:r>
    </w:p>
    <w:p>
      <w:pPr>
        <w:pStyle w:val="ListBullet"/>
      </w:pPr>
      <w:r>
        <w:t>POST /api/surveys: Submits a fuel impact survey linked to the authenticated user.</w:t>
      </w:r>
    </w:p>
    <w:p>
      <w:pPr>
        <w:pStyle w:val="ListBullet"/>
      </w:pPr>
      <w:r>
        <w:t>GET /api/surveys: Lists the authenticated user's survey responses ordered by submission date.</w:t>
      </w:r>
    </w:p>
    <w:p>
      <w:pPr>
        <w:pStyle w:val="ListBullet"/>
      </w:pPr>
      <w:r>
        <w:t>GET /api/surveys/insights: Returns aggregate survey statistics including total survey count, impact level distribution, and the user's 5 most recent submissions.</w:t>
      </w:r>
    </w:p>
    <w:p>
      <w:pPr>
        <w:pStyle w:val="Heading2"/>
      </w:pPr>
      <w:r>
        <w:t>4.5 Auth Service (Backend)</w:t>
      </w:r>
    </w:p>
    <w:p>
      <w:r>
        <w:t>The auth service (backend/services/auth.py) provides token and password management:</w:t>
      </w:r>
    </w:p>
    <w:p>
      <w:pPr>
        <w:pStyle w:val="ListBullet"/>
      </w:pPr>
      <w:r>
        <w:t>Password hashing: Uses bcrypt via passlib's CryptContext with auto-deprecation handling. hash_password() generates salted hashes; verify_password() compares plaintext against stored hash.</w:t>
      </w:r>
    </w:p>
    <w:p>
      <w:pPr>
        <w:pStyle w:val="ListBullet"/>
      </w:pPr>
      <w:r>
        <w:t>JWT creation: create_access_token() encodes a payload containing the user's UUID (sub) and an expiration timestamp 30 days in the future, signed with HS256 using a configurable SECRET_KEY.</w:t>
      </w:r>
    </w:p>
    <w:p>
      <w:pPr>
        <w:pStyle w:val="ListBullet"/>
      </w:pPr>
      <w:r>
        <w:t>JWT decoding: decode_access_token() verifies the signature and expiration, returning the user ID (sub claim) on success or None on any JWTError (expired, malformed, or invalid signature).</w:t>
      </w:r>
    </w:p>
    <w:p>
      <w:pPr>
        <w:pStyle w:val="Heading2"/>
      </w:pPr>
      <w:r>
        <w:t>4.6 Seed Data</w:t>
      </w:r>
    </w:p>
    <w:p>
      <w:r>
        <w:t>The seed script (backend/seed.py) populates the database with 14 fuel price records (7 days × 2 fuel types: mogas_95 and gas_oil) and 5 recommendations (one per business type). It checks for existing data before seeding to avoid duplicates, making it safe for repeated execution.</w:t>
      </w:r>
    </w:p>
    <w:p>
      <w:r>
        <w:br w:type="page"/>
      </w:r>
    </w:p>
    <w:p>
      <w:pPr>
        <w:pStyle w:val="Heading1"/>
      </w:pPr>
      <w:r>
        <w:t>5. Algorithms &amp; Processing Logic</w:t>
      </w:r>
    </w:p>
    <w:p>
      <w:r>
        <w:t>This section describes every distinct algorithm and processing logic implemented in AstraFlow, explaining what each does, how it works at a high level, and how it contributes to the application's overall functionality.</w:t>
      </w:r>
    </w:p>
    <w:p>
      <w:pPr>
        <w:pStyle w:val="Heading2"/>
      </w:pPr>
      <w:r>
        <w:t>5.1 JWT Authentication Flow</w:t>
      </w:r>
    </w:p>
    <w:p>
      <w:r>
        <w:t>Purpose: Securely authenticate users and maintain stateless sessions across requests.</w:t>
      </w:r>
    </w:p>
    <w:p>
      <w:r>
        <w:t>The authentication algorithm follows a five-phase pipeline:</w:t>
      </w:r>
    </w:p>
    <w:p>
      <w:pPr>
        <w:pStyle w:val="ListBullet"/>
      </w:pPr>
      <w:r>
        <w:t>Registration: The frontend sends email, password, full_name, and business_type to POST /api/auth/register. The backend validates the business type against the Enum, checks for duplicate email, hashes the password with bcrypt (salted, ~60ms per hash), creates a User record, generates a JWT with the user's UUID as subject and a 30-day expiry, and returns the token + user metadata.</w:t>
      </w:r>
    </w:p>
    <w:p>
      <w:pPr>
        <w:pStyle w:val="ListBullet"/>
      </w:pPr>
      <w:r>
        <w:t>Login: The frontend sends email and password to POST /api/auth/login. The backend queries the user by email, verifies the password against the bcrypt hash, and returns a JWT on success.</w:t>
      </w:r>
    </w:p>
    <w:p>
      <w:pPr>
        <w:pStyle w:val="ListBullet"/>
      </w:pPr>
      <w:r>
        <w:t>Token storage: The frontend stores the JWT in localStorage under astraflow_token and the user object under astraflow_user.</w:t>
      </w:r>
    </w:p>
    <w:p>
      <w:pPr>
        <w:pStyle w:val="ListBullet"/>
      </w:pPr>
      <w:r>
        <w:t>Request authentication: The API client reads the token from localStorage and attaches it as an Authorization: Bearer {token} header on every API call.</w:t>
      </w:r>
    </w:p>
    <w:p>
      <w:pPr>
        <w:pStyle w:val="ListBullet"/>
      </w:pPr>
      <w:r>
        <w:t>Token verification: The get_current_user() dependency on each protected route extracts the Bearer token, decodes it (verifying both signature and expiration), queries the user from the database, and injects the User object into the route handler. Invalid or expired tokens produce a 401 response.</w:t>
      </w:r>
    </w:p>
    <w:p>
      <w:pPr>
        <w:pStyle w:val="Heading2"/>
      </w:pPr>
      <w:r>
        <w:t>5.2 Dashboard Personalisation</w:t>
      </w:r>
    </w:p>
    <w:p>
      <w:r>
        <w:t>Purpose: Deliver contextually relevant fuel price information and business advice based on the user's registered business type.</w:t>
      </w:r>
    </w:p>
    <w:p>
      <w:r>
        <w:t>The dashboard uses a static RECOMMENDATIONS dictionary mapping all five BusinessType values to personalised recommendation text, impact level (Low/Medium/High), and risk level (Low/Moderate/High). When the authenticated user hits GET /api/dashboard, the route handler looks up their user.business_type in the dictionary and returns the matched recommendation content, risk, and impact alongside current fuel prices and market context. If a business type is not found, it defaults to the restaurant recommendation as a fallback.</w:t>
      </w:r>
    </w:p>
    <w:p>
      <w:r>
        <w:t>Business-type mapping examples: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3087" w:val="clear"/>
          </w:tcPr>
          <w:p>
            <w:r>
              <w:rPr>
                <w:b/>
                <w:color w:val="FFFFFF"/>
                <w:sz w:val="18"/>
              </w:rPr>
              <w:t>Business Type</w:t>
            </w:r>
          </w:p>
        </w:tc>
        <w:tc>
          <w:tcPr>
            <w:tcW w:type="dxa" w:w="2160"/>
            <w:shd w:fill="003087" w:val="clear"/>
          </w:tcPr>
          <w:p>
            <w:r>
              <w:rPr>
                <w:b/>
                <w:color w:val="FFFFFF"/>
                <w:sz w:val="18"/>
              </w:rPr>
              <w:t>Risk Level</w:t>
            </w:r>
          </w:p>
        </w:tc>
        <w:tc>
          <w:tcPr>
            <w:tcW w:type="dxa" w:w="2160"/>
            <w:shd w:fill="003087" w:val="clear"/>
          </w:tcPr>
          <w:p>
            <w:r>
              <w:rPr>
                <w:b/>
                <w:color w:val="FFFFFF"/>
                <w:sz w:val="18"/>
              </w:rPr>
              <w:t>Impact</w:t>
            </w:r>
          </w:p>
        </w:tc>
        <w:tc>
          <w:tcPr>
            <w:tcW w:type="dxa" w:w="2160"/>
            <w:shd w:fill="003087" w:val="clear"/>
          </w:tcPr>
          <w:p>
            <w:r>
              <w:rPr>
                <w:b/>
                <w:color w:val="FFFFFF"/>
                <w:sz w:val="18"/>
              </w:rPr>
              <w:t>Recommendation Theme</w:t>
            </w:r>
          </w:p>
        </w:tc>
      </w:tr>
      <w:tr>
        <w:tc>
          <w:tcPr>
            <w:tcW w:type="dxa" w:w="2160"/>
          </w:tcPr>
          <w:p>
            <w:r>
              <w:rPr>
                <w:color w:val="1A1C1E"/>
                <w:sz w:val="18"/>
              </w:rPr>
              <w:t>Restaurant</w:t>
            </w:r>
          </w:p>
        </w:tc>
        <w:tc>
          <w:tcPr>
            <w:tcW w:type="dxa" w:w="2160"/>
          </w:tcPr>
          <w:p>
            <w:r>
              <w:rPr>
                <w:color w:val="1A1C1E"/>
                <w:sz w:val="18"/>
              </w:rPr>
              <w:t>Moderate</w:t>
            </w:r>
          </w:p>
        </w:tc>
        <w:tc>
          <w:tcPr>
            <w:tcW w:type="dxa" w:w="2160"/>
          </w:tcPr>
          <w:p>
            <w:r>
              <w:rPr>
                <w:color w:val="1A1C1E"/>
                <w:sz w:val="18"/>
              </w:rPr>
              <w:t>Medium</w:t>
            </w:r>
          </w:p>
        </w:tc>
        <w:tc>
          <w:tcPr>
            <w:tcW w:type="dxa" w:w="2160"/>
          </w:tcPr>
          <w:p>
            <w:r>
              <w:rPr>
                <w:color w:val="1A1C1E"/>
                <w:sz w:val="18"/>
              </w:rPr>
              <w:t>Review supplier contracts, local sourcing</w:t>
            </w:r>
          </w:p>
        </w:tc>
      </w:tr>
      <w:tr>
        <w:tc>
          <w:tcPr>
            <w:tcW w:type="dxa" w:w="2160"/>
          </w:tcPr>
          <w:p>
            <w:r>
              <w:rPr>
                <w:color w:val="1A1C1E"/>
                <w:sz w:val="18"/>
              </w:rPr>
              <w:t>Taxi</w:t>
            </w:r>
          </w:p>
        </w:tc>
        <w:tc>
          <w:tcPr>
            <w:tcW w:type="dxa" w:w="2160"/>
          </w:tcPr>
          <w:p>
            <w:r>
              <w:rPr>
                <w:color w:val="1A1C1E"/>
                <w:sz w:val="18"/>
              </w:rPr>
              <w:t>Moderate</w:t>
            </w:r>
          </w:p>
        </w:tc>
        <w:tc>
          <w:tcPr>
            <w:tcW w:type="dxa" w:w="2160"/>
          </w:tcPr>
          <w:p>
            <w:r>
              <w:rPr>
                <w:color w:val="1A1C1E"/>
                <w:sz w:val="18"/>
              </w:rPr>
              <w:t>High</w:t>
            </w:r>
          </w:p>
        </w:tc>
        <w:tc>
          <w:tcPr>
            <w:tcW w:type="dxa" w:w="2160"/>
          </w:tcPr>
          <w:p>
            <w:r>
              <w:rPr>
                <w:color w:val="1A1C1E"/>
                <w:sz w:val="18"/>
              </w:rPr>
              <w:t>Carpooling, off-peak hours, cost projection</w:t>
            </w:r>
          </w:p>
        </w:tc>
      </w:tr>
      <w:tr>
        <w:tc>
          <w:tcPr>
            <w:tcW w:type="dxa" w:w="2160"/>
          </w:tcPr>
          <w:p>
            <w:r>
              <w:rPr>
                <w:color w:val="1A1C1E"/>
                <w:sz w:val="18"/>
              </w:rPr>
              <w:t>Delivery</w:t>
            </w:r>
          </w:p>
        </w:tc>
        <w:tc>
          <w:tcPr>
            <w:tcW w:type="dxa" w:w="2160"/>
          </w:tcPr>
          <w:p>
            <w:r>
              <w:rPr>
                <w:color w:val="1A1C1E"/>
                <w:sz w:val="18"/>
              </w:rPr>
              <w:t>High</w:t>
            </w:r>
          </w:p>
        </w:tc>
        <w:tc>
          <w:tcPr>
            <w:tcW w:type="dxa" w:w="2160"/>
          </w:tcPr>
          <w:p>
            <w:r>
              <w:rPr>
                <w:color w:val="1A1C1E"/>
                <w:sz w:val="18"/>
              </w:rPr>
              <w:t>High</w:t>
            </w:r>
          </w:p>
        </w:tc>
        <w:tc>
          <w:tcPr>
            <w:tcW w:type="dxa" w:w="2160"/>
          </w:tcPr>
          <w:p>
            <w:r>
              <w:rPr>
                <w:color w:val="1A1C1E"/>
                <w:sz w:val="18"/>
              </w:rPr>
              <w:t>Route optimisation, batch deliveries</w:t>
            </w:r>
          </w:p>
        </w:tc>
      </w:tr>
      <w:tr>
        <w:tc>
          <w:tcPr>
            <w:tcW w:type="dxa" w:w="2160"/>
          </w:tcPr>
          <w:p>
            <w:r>
              <w:rPr>
                <w:color w:val="1A1C1E"/>
                <w:sz w:val="18"/>
              </w:rPr>
              <w:t>Retail</w:t>
            </w:r>
          </w:p>
        </w:tc>
        <w:tc>
          <w:tcPr>
            <w:tcW w:type="dxa" w:w="2160"/>
          </w:tcPr>
          <w:p>
            <w:r>
              <w:rPr>
                <w:color w:val="1A1C1E"/>
                <w:sz w:val="18"/>
              </w:rPr>
              <w:t>Low</w:t>
            </w:r>
          </w:p>
        </w:tc>
        <w:tc>
          <w:tcPr>
            <w:tcW w:type="dxa" w:w="2160"/>
          </w:tcPr>
          <w:p>
            <w:r>
              <w:rPr>
                <w:color w:val="1A1C1E"/>
                <w:sz w:val="18"/>
              </w:rPr>
              <w:t>Low</w:t>
            </w:r>
          </w:p>
        </w:tc>
        <w:tc>
          <w:tcPr>
            <w:tcW w:type="dxa" w:w="2160"/>
          </w:tcPr>
          <w:p>
            <w:r>
              <w:rPr>
                <w:color w:val="1A1C1E"/>
                <w:sz w:val="18"/>
              </w:rPr>
              <w:t>Bulk ordering, supply chain monitoring</w:t>
            </w:r>
          </w:p>
        </w:tc>
      </w:tr>
      <w:tr>
        <w:tc>
          <w:tcPr>
            <w:tcW w:type="dxa" w:w="2160"/>
          </w:tcPr>
          <w:p>
            <w:r>
              <w:rPr>
                <w:color w:val="1A1C1E"/>
                <w:sz w:val="18"/>
              </w:rPr>
              <w:t>Logistics</w:t>
            </w:r>
          </w:p>
        </w:tc>
        <w:tc>
          <w:tcPr>
            <w:tcW w:type="dxa" w:w="2160"/>
          </w:tcPr>
          <w:p>
            <w:r>
              <w:rPr>
                <w:color w:val="1A1C1E"/>
                <w:sz w:val="18"/>
              </w:rPr>
              <w:t>High</w:t>
            </w:r>
          </w:p>
        </w:tc>
        <w:tc>
          <w:tcPr>
            <w:tcW w:type="dxa" w:w="2160"/>
          </w:tcPr>
          <w:p>
            <w:r>
              <w:rPr>
                <w:color w:val="1A1C1E"/>
                <w:sz w:val="18"/>
              </w:rPr>
              <w:t>High</w:t>
            </w:r>
          </w:p>
        </w:tc>
        <w:tc>
          <w:tcPr>
            <w:tcW w:type="dxa" w:w="2160"/>
          </w:tcPr>
          <w:p>
            <w:r>
              <w:rPr>
                <w:color w:val="1A1C1E"/>
                <w:sz w:val="18"/>
              </w:rPr>
              <w:t>Fleet efficiency upgrades, surcharge renegotiation</w:t>
            </w:r>
          </w:p>
        </w:tc>
      </w:tr>
    </w:tbl>
    <w:p/>
    <w:p>
      <w:pPr>
        <w:pStyle w:val="Heading2"/>
      </w:pPr>
      <w:r>
        <w:t>5.3 Consumption Prediction Engine</w:t>
      </w:r>
    </w:p>
    <w:p>
      <w:r>
        <w:t>Purpose: Estimate the financial and environmental cost of fuel consumption for a given volume.</w:t>
      </w:r>
    </w:p>
    <w:p>
      <w:r>
        <w:t>The prediction algorithm computes three primary values:</w:t>
      </w:r>
    </w:p>
    <w:p>
      <w:pPr>
        <w:pStyle w:val="ListBullet"/>
      </w:pPr>
      <w:r>
        <w:t>Total Cost: total_cost = liters × price_per_liter. The price per liter is currently hardcoded at $1.62 (the same value is used in the frontend mock data for consistency).</w:t>
      </w:r>
    </w:p>
    <w:p>
      <w:pPr>
        <w:pStyle w:val="ListBullet"/>
      </w:pPr>
      <w:r>
        <w:t>Carbon Footprint: carbon_footprint_kg = liters × 2.3 kg CO₂. The constant 2.3 represents the approximate kilograms of CO₂ emitted per liter of diesel/petrol combustion.</w:t>
      </w:r>
    </w:p>
    <w:p>
      <w:pPr>
        <w:pStyle w:val="ListBullet"/>
      </w:pPr>
      <w:r>
        <w:t>Future Projected Loss: future_loss = total_cost × (future_increase_pct / 100). The future_increase_pct is currently hardcoded at 4.2%, representing a projected price increase percentage applied to the current total cost.</w:t>
      </w:r>
    </w:p>
    <w:p>
      <w:r>
        <w:t>All computed values are rounded to 2 decimal places before being returned. The response also includes a price_index ('Stable') and a price_alert boolean flag (see §5.4). The ML placeholder directory (backend/ml/) and installed dependencies (scikit-learn, pandas, numpy) indicate that these hardcoded constants are intended to be replaced by data-driven predictions in future versions.</w:t>
      </w:r>
    </w:p>
    <w:p>
      <w:pPr>
        <w:pStyle w:val="Heading2"/>
      </w:pPr>
      <w:r>
        <w:t>5.4 Price Alert Threshold</w:t>
      </w:r>
    </w:p>
    <w:p>
      <w:r>
        <w:t>Purpose: Notify users when their consumption volume exceeds a threshold that warrants attention.</w:t>
      </w:r>
    </w:p>
    <w:p>
      <w:r>
        <w:t>The price alert algorithm is a simple threshold-based rule:</w:t>
      </w:r>
    </w:p>
    <w:p>
      <w:pPr>
        <w:pStyle w:val="ListBullet"/>
      </w:pPr>
      <w:r>
        <w:t>If liters &gt; 40: price_alert is set to true and alert_message is populated with a warning string that includes the future_increase_pct (4.2%) and the calculated future_loss in dollars. If liters ≤ 40: price_alert is false and alert_message is null.</w:t>
      </w:r>
    </w:p>
    <w:p>
      <w:r>
        <w:t>The threshold of 40 liters represents an approximate monthly fuel consumption level beyond which fuel price changes meaningfully impact business operating costs. This value, along with the future_increase_pct constant, is mirrored in the frontend MOCK_RESULT fallback for offline consistency.</w:t>
      </w:r>
    </w:p>
    <w:p>
      <w:pPr>
        <w:pStyle w:val="Heading2"/>
      </w:pPr>
      <w:r>
        <w:t>5.5 Price History Visualisation</w:t>
      </w:r>
    </w:p>
    <w:p>
      <w:r>
        <w:t>Purpose: Display a 7-day historical view of petrol and diesel prices as an intuitive bar chart.</w:t>
      </w:r>
    </w:p>
    <w:p>
      <w:r>
        <w:t>The price history screen (src/app/(tabs)/prices.tsx) renders a purely native horizontal bar chart using React Native View components — no external charting library is required.</w:t>
      </w:r>
    </w:p>
    <w:p>
      <w:r>
        <w:t>Rendering algorithm:</w:t>
      </w:r>
    </w:p>
    <w:p>
      <w:pPr>
        <w:pStyle w:val="ListBullet"/>
      </w:pPr>
      <w:r>
        <w:t>A static PRICE_HISTORY array holds 7 days of petrol and diesel prices.</w:t>
      </w:r>
    </w:p>
    <w:p>
      <w:pPr>
        <w:pStyle w:val="ListBullet"/>
      </w:pPr>
      <w:r>
        <w:t>The maximum price across all entries is computed: maxPrice = max(… day.petrol, day.diesel for all days).</w:t>
      </w:r>
    </w:p>
    <w:p>
      <w:pPr>
        <w:pStyle w:val="ListBullet"/>
      </w:pPr>
      <w:r>
        <w:t>Each bar's width is proportionally computed as: width = (day.price / maxPrice) × 100%.</w:t>
      </w:r>
    </w:p>
    <w:p>
      <w:pPr>
        <w:pStyle w:val="ListBullet"/>
      </w:pPr>
      <w:r>
        <w:t>Petrol bars use Deep Blue (#003087) and diesel bars use red (#d32f2f) for clear visual differentiation, with a legend at the bottom.</w:t>
      </w:r>
    </w:p>
    <w:p>
      <w:pPr>
        <w:pStyle w:val="ListBullet"/>
      </w:pPr>
      <w:r>
        <w:t>Brightness is reduced (opacity: 0.8) for a softer visual appearance consistent with the Azure Clarity design language.</w:t>
      </w:r>
    </w:p>
    <w:p>
      <w:pPr>
        <w:spacing w:before="80" w:after="80"/>
        <w:ind w:left="283"/>
        <w:shd w:fill="f3f3f6" w:val="clear"/>
      </w:pPr>
      <w:r>
        <w:rPr>
          <w:rFonts w:ascii="Courier New" w:hAnsi="Courier New"/>
          <w:color w:val="1E1E1E"/>
          <w:sz w:val="16"/>
        </w:rPr>
        <w:t>&lt;View style={{ width: `${(day.petrol / maxPrice) * 100}%` }} /&gt;  // petrol bar</w:t>
        <w:br/>
        <w:t>&lt;View style={{ width: `${(day.diesel / maxPrice) * 100}%` }} /&gt;  // diesel bar</w:t>
      </w:r>
    </w:p>
    <w:p>
      <w:pPr>
        <w:pStyle w:val="Heading2"/>
      </w:pPr>
      <w:r>
        <w:t>5.6 Survey Multi-Step Form</w:t>
      </w:r>
    </w:p>
    <w:p>
      <w:r>
        <w:t>Purpose: Collect structured feedback on how fuel prices affect businesses through an intuitive step-by-step form.</w:t>
      </w:r>
    </w:p>
    <w:p>
      <w:r>
        <w:t>The form consists of 4 sequential steps controlled by a step state variable:</w:t>
      </w:r>
    </w:p>
    <w:p>
      <w:pPr>
        <w:pStyle w:val="ListBullet"/>
      </w:pPr>
      <w:r>
        <w:t>Step 0 — Monthly Fuel Spend: A numeric input field with a 'Rs' currency prefix for entering monthly fuel expenditure.</w:t>
      </w:r>
    </w:p>
    <w:p>
      <w:pPr>
        <w:pStyle w:val="ListBullet"/>
      </w:pPr>
      <w:r>
        <w:t>Step 1 — Impact Level: Four chip-style selectors (Low, Medium, High, Severe) rendered in a flex-wrap grid. Single-select with visual highlighting.</w:t>
      </w:r>
    </w:p>
    <w:p>
      <w:pPr>
        <w:pStyle w:val="ListBullet"/>
      </w:pPr>
      <w:r>
        <w:t>Step 2 — Concern Areas: Four multi-select chips (Transport Costs, Supply Chain, Operations, Profit Margins). Toggle behaviour using includes/filter pattern.</w:t>
      </w:r>
    </w:p>
    <w:p>
      <w:pPr>
        <w:pStyle w:val="ListBullet"/>
      </w:pPr>
      <w:r>
        <w:t>Step 3 — Comments &amp; Submit: A multiline textarea with a Submit button that triggers the api.surveys.submit() call.</w:t>
      </w:r>
    </w:p>
    <w:p>
      <w:r>
        <w:t>Navigation between steps uses Back and Next buttons in a fixed footer. A step indicator (1 / 4) is shown in the header. On successful submission, an alert thanks the user and navigates back.</w:t>
      </w:r>
    </w:p>
    <w:p>
      <w:pPr>
        <w:pStyle w:val="Heading2"/>
      </w:pPr>
      <w:r>
        <w:t>5.7 Protected Route Guard</w:t>
      </w:r>
    </w:p>
    <w:p>
      <w:r>
        <w:t>Purpose: Enforce authentication boundaries by redirecting users based on their login state.</w:t>
      </w:r>
    </w:p>
    <w:p>
      <w:r>
        <w:t>The useProtectedRoute() hook implements a segment-based routing guard:</w:t>
      </w:r>
    </w:p>
    <w:p>
      <w:pPr>
        <w:pStyle w:val="ListBullet"/>
      </w:pPr>
      <w:r>
        <w:t>Reads the current route segment using useSegments() from expo-router.</w:t>
      </w:r>
    </w:p>
    <w:p>
      <w:pPr>
        <w:pStyle w:val="ListBullet"/>
      </w:pPr>
      <w:r>
        <w:t>Determines if the user is on an auth screen: segments[0] === 'login' || segments[0] === 'register'.</w:t>
      </w:r>
    </w:p>
    <w:p>
      <w:pPr>
        <w:pStyle w:val="ListBullet"/>
      </w:pPr>
      <w:r>
        <w:t>If the user is NOT authenticated and NOT on an auth screen → redirect to /login.</w:t>
      </w:r>
    </w:p>
    <w:p>
      <w:pPr>
        <w:pStyle w:val="ListBullet"/>
      </w:pPr>
      <w:r>
        <w:t>If the user IS authenticated and IS on an auth screen → redirect to / (tabs).</w:t>
      </w:r>
    </w:p>
    <w:p>
      <w:pPr>
        <w:pStyle w:val="ListBullet"/>
      </w:pPr>
      <w:r>
        <w:t>The guard runs once using a checked boolean flag. This prevents infinite redirect loops that could occur if the guard re-evaluated on every render.</w:t>
      </w:r>
    </w:p>
    <w:p>
      <w:pPr>
        <w:pStyle w:val="Heading2"/>
      </w:pPr>
      <w:r>
        <w:t>5.8 Graceful Degradation &amp; Mock Fallback</w:t>
      </w:r>
    </w:p>
    <w:p>
      <w:r>
        <w:t>Purpose: Ensure the application remains usable when the backend API is unreachable, providing a seamless development and demo experience.</w:t>
      </w:r>
    </w:p>
    <w:p>
      <w:r>
        <w:t>Two screens implement mock fallback patterns:</w:t>
      </w:r>
    </w:p>
    <w:p>
      <w:pPr>
        <w:pStyle w:val="ListBullet"/>
      </w:pPr>
      <w:r>
        <w:t>Dashboard: The fetchDashboard function wraps the api.dashboard.get() call in a try/catch. If the API call fails (network error, server down, non-401 error), the error is stored in state and the MOCK_DATA constant is used as the data source. A banner displays the error message with 'Tap to retry'. Skeleton loading (animated placeholder blocks matching the dashboard layout) is shown during the initial loading phase.</w:t>
      </w:r>
    </w:p>
    <w:p>
      <w:pPr>
        <w:pStyle w:val="ListBullet"/>
      </w:pPr>
      <w:r>
        <w:t>Predict: The handleCalculate function similarly catches API errors from api.predict.get(). On failure, it calls MOCK_RESULT(liters) which computes the same formulas client-side using identical constants (price_per_liter=1.62, carbon_per_liter=2.3, future_increase_pct=4.2). An info banner states 'Could not reach server — showing estimate'.</w:t>
      </w:r>
    </w:p>
    <w:p>
      <w:pPr>
        <w:pStyle w:val="Heading2"/>
      </w:pPr>
      <w:r>
        <w:t>5.9 Survey Insights Aggregation</w:t>
      </w:r>
    </w:p>
    <w:p>
      <w:r>
        <w:t>Purpose: Provide aggregate analytics on survey data for business intelligence.</w:t>
      </w:r>
    </w:p>
    <w:p>
      <w:r>
        <w:t>The GET /api/surveys/insights endpoint performs two data aggregation operations:</w:t>
      </w:r>
    </w:p>
    <w:p>
      <w:pPr>
        <w:pStyle w:val="ListBullet"/>
      </w:pPr>
      <w:r>
        <w:t>Impact Distribution: Queries all surveys (Survey.impact_level, Survey.business_type), then iterates over the result set to count occurrences of each impact level string. The result is an impact_counts dictionary mapping level → count (e.g., {'high': 15, 'medium': 8, 'low': 3}).</w:t>
      </w:r>
    </w:p>
    <w:p>
      <w:pPr>
        <w:pStyle w:val="ListBullet"/>
      </w:pPr>
      <w:r>
        <w:t>Recent User Surveys: Queries the authenticated user's surveys ordered by submitted_at desc, limited to 5 most recent. This provides a personalised history alongside the aggregate data.</w:t>
      </w:r>
    </w:p>
    <w:p>
      <w:r>
        <w:br w:type="page"/>
      </w:r>
    </w:p>
    <w:p>
      <w:pPr>
        <w:pStyle w:val="Heading1"/>
      </w:pPr>
      <w:r>
        <w:t>6. Data Flow Analysis</w:t>
      </w:r>
    </w:p>
    <w:p>
      <w:r>
        <w:t>This section traces end-to-end data movement for each major user journey, illustrating how data originates, transforms, and is presented across the system layers.</w:t>
      </w:r>
    </w:p>
    <w:p>
      <w:pPr>
        <w:pStyle w:val="Heading2"/>
      </w:pPr>
      <w:r>
        <w:t>Registration Journey</w:t>
      </w:r>
    </w:p>
    <w:p>
      <w:pPr>
        <w:spacing w:after="80"/>
      </w:pPr>
      <w:r>
        <w:t>User fills form → RegisterScreen validates fields → api.auth.register() → POST /api/auth/register → FastAPI validates business_type → checks duplicate email → bcrypt hashes password → creates User record → generates JWT → returns token + user → setToken() + setUser() in localStorage → router.replace('/') → Dashboard loads.</w:t>
      </w:r>
    </w:p>
    <w:p>
      <w:pPr>
        <w:pStyle w:val="Heading2"/>
      </w:pPr>
      <w:r>
        <w:t>Login Journey</w:t>
      </w:r>
    </w:p>
    <w:p>
      <w:pPr>
        <w:spacing w:after="80"/>
      </w:pPr>
      <w:r>
        <w:t>User fills login form → LoginScreen validates fields → api.auth.login() → POST /api/auth/login → FastAPI queries user by email → bcrypt verifies password → generates JWT → returns token + user → setToken() + setUser() → router.replace('/') → Dashboard loads.</w:t>
      </w:r>
    </w:p>
    <w:p>
      <w:pPr>
        <w:pStyle w:val="Heading2"/>
      </w:pPr>
      <w:r>
        <w:t>Dashboard Viewing Journey</w:t>
      </w:r>
    </w:p>
    <w:p>
      <w:pPr>
        <w:spacing w:after="80"/>
      </w:pPr>
      <w:r>
        <w:t>User opens Home tab → SkeletonDashboard renders (loading state) → api.dashboard.get() → GET /api/dashboard → get_current_user() decodes JWT → queries User from DB → looks up recommendation by BusinessType → returns prices, trends, risk, impact, market update → setData() → SkeletonDashboard replaced with real cards → optional error banner if API failed.</w:t>
      </w:r>
    </w:p>
    <w:p>
      <w:pPr>
        <w:pStyle w:val="Heading2"/>
      </w:pPr>
      <w:r>
        <w:t>Consumption Prediction Journey</w:t>
      </w:r>
    </w:p>
    <w:p>
      <w:pPr>
        <w:spacing w:after="80"/>
      </w:pPr>
      <w:r>
        <w:t>User enters litres → taps 'Calculate Impact' → api.predict.get(liters) → GET /api/predict?liters=X → computes cost/carbon/future_loss → returns PredictResult → renders result cards + optional price alert card → if API fails, MOCK_RESULT runs client-side.</w:t>
      </w:r>
    </w:p>
    <w:p>
      <w:pPr>
        <w:pStyle w:val="Heading2"/>
      </w:pPr>
      <w:r>
        <w:t>Survey Submission Journey</w:t>
      </w:r>
    </w:p>
    <w:p>
      <w:pPr>
        <w:spacing w:after="80"/>
      </w:pPr>
      <w:r>
        <w:t>User steps through 4-step form → collects monthly_spend, impact_level, concern_areas, comments → handleSubmit() → api.surveys.submit(data) → POST /api/surveys → creates Survey record → returns { id, message } → Alert 'Thank you' → router.back().</w:t>
      </w:r>
    </w:p>
    <w:p>
      <w:pPr>
        <w:pStyle w:val="Heading2"/>
      </w:pPr>
      <w:r>
        <w:t>Profile Viewing Journey</w:t>
      </w:r>
    </w:p>
    <w:p>
      <w:pPr>
        <w:spacing w:after="80"/>
      </w:pPr>
      <w:r>
        <w:t>User opens Profile tab → getUser() reads astraflow_user from localStorage → renders user info (name, email, business type) → 'Sign Out' button calls clearToken() → router.replace('/login').</w:t>
      </w:r>
    </w:p>
    <w:p>
      <w:r>
        <w:br w:type="page"/>
      </w:r>
    </w:p>
    <w:p>
      <w:pPr>
        <w:pStyle w:val="Heading1"/>
      </w:pPr>
      <w:r>
        <w:t>7. Security Analysis</w:t>
      </w:r>
    </w:p>
    <w:p>
      <w:r>
        <w:t>This section evaluates the security posture of AstraFlow across authentication, data protection, network security, and secret management.</w:t>
      </w:r>
    </w:p>
    <w:p>
      <w:pPr>
        <w:pStyle w:val="Heading2"/>
      </w:pPr>
      <w:r>
        <w:t>7.1 Authentication &amp; Token Management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Aspect</w:t>
            </w:r>
          </w:p>
        </w:tc>
        <w:tc>
          <w:tcPr>
            <w:tcW w:type="dxa" w:w="2880"/>
            <w:shd w:fill="003087" w:val="clear"/>
          </w:tcPr>
          <w:p>
            <w:r>
              <w:rPr>
                <w:b/>
                <w:color w:val="FFFFFF"/>
                <w:sz w:val="18"/>
              </w:rPr>
              <w:t>Implementation</w:t>
            </w:r>
          </w:p>
        </w:tc>
        <w:tc>
          <w:tcPr>
            <w:tcW w:type="dxa" w:w="2880"/>
            <w:shd w:fill="003087" w:val="clear"/>
          </w:tcPr>
          <w:p>
            <w:r>
              <w:rPr>
                <w:b/>
                <w:color w:val="FFFFFF"/>
                <w:sz w:val="18"/>
              </w:rPr>
              <w:t>Assessment</w:t>
            </w:r>
          </w:p>
        </w:tc>
      </w:tr>
      <w:tr>
        <w:tc>
          <w:tcPr>
            <w:tcW w:type="dxa" w:w="2880"/>
          </w:tcPr>
          <w:p>
            <w:r>
              <w:rPr>
                <w:color w:val="1A1C1E"/>
                <w:sz w:val="18"/>
              </w:rPr>
              <w:t>Password hashing</w:t>
            </w:r>
          </w:p>
        </w:tc>
        <w:tc>
          <w:tcPr>
            <w:tcW w:type="dxa" w:w="2880"/>
          </w:tcPr>
          <w:p>
            <w:r>
              <w:rPr>
                <w:color w:val="1A1C1E"/>
                <w:sz w:val="18"/>
              </w:rPr>
              <w:t>bcrypt via passlib CryptContext</w:t>
            </w:r>
          </w:p>
        </w:tc>
        <w:tc>
          <w:tcPr>
            <w:tcW w:type="dxa" w:w="2880"/>
          </w:tcPr>
          <w:p>
            <w:r>
              <w:rPr>
                <w:color w:val="1A1C1E"/>
                <w:sz w:val="18"/>
              </w:rPr>
              <w:t>Strong — bcrypt is the recommended password hashing algorithm with built-in salting.</w:t>
            </w:r>
          </w:p>
        </w:tc>
      </w:tr>
      <w:tr>
        <w:tc>
          <w:tcPr>
            <w:tcW w:type="dxa" w:w="2880"/>
          </w:tcPr>
          <w:p>
            <w:r>
              <w:rPr>
                <w:color w:val="1A1C1E"/>
                <w:sz w:val="18"/>
              </w:rPr>
              <w:t>Token signing</w:t>
            </w:r>
          </w:p>
        </w:tc>
        <w:tc>
          <w:tcPr>
            <w:tcW w:type="dxa" w:w="2880"/>
          </w:tcPr>
          <w:p>
            <w:r>
              <w:rPr>
                <w:color w:val="1A1C1E"/>
                <w:sz w:val="18"/>
              </w:rPr>
              <w:t>HS256 (HMAC-SHA256) symmetric key</w:t>
            </w:r>
          </w:p>
        </w:tc>
        <w:tc>
          <w:tcPr>
            <w:tcW w:type="dxa" w:w="2880"/>
          </w:tcPr>
          <w:p>
            <w:r>
              <w:rPr>
                <w:color w:val="1A1C1E"/>
                <w:sz w:val="18"/>
              </w:rPr>
              <w:t>Adequate for single-service deployments. For distributed systems, RS256 (asymmetric) would be preferable.</w:t>
            </w:r>
          </w:p>
        </w:tc>
      </w:tr>
      <w:tr>
        <w:tc>
          <w:tcPr>
            <w:tcW w:type="dxa" w:w="2880"/>
          </w:tcPr>
          <w:p>
            <w:r>
              <w:rPr>
                <w:color w:val="1A1C1E"/>
                <w:sz w:val="18"/>
              </w:rPr>
              <w:t>Token expiry</w:t>
            </w:r>
          </w:p>
        </w:tc>
        <w:tc>
          <w:tcPr>
            <w:tcW w:type="dxa" w:w="2880"/>
          </w:tcPr>
          <w:p>
            <w:r>
              <w:rPr>
                <w:color w:val="1A1C1E"/>
                <w:sz w:val="18"/>
              </w:rPr>
              <w:t>30 days</w:t>
            </w:r>
          </w:p>
        </w:tc>
        <w:tc>
          <w:tcPr>
            <w:tcW w:type="dxa" w:w="2880"/>
          </w:tcPr>
          <w:p>
            <w:r>
              <w:rPr>
                <w:color w:val="1A1C1E"/>
                <w:sz w:val="18"/>
              </w:rPr>
              <w:t>Long-lived tokens reduce re-authentication friction but increase risk window if a token is leaked. Consider shorter expiry with refresh tokens.</w:t>
            </w:r>
          </w:p>
        </w:tc>
      </w:tr>
      <w:tr>
        <w:tc>
          <w:tcPr>
            <w:tcW w:type="dxa" w:w="2880"/>
          </w:tcPr>
          <w:p>
            <w:r>
              <w:rPr>
                <w:color w:val="1A1C1E"/>
                <w:sz w:val="18"/>
              </w:rPr>
              <w:t>Secret key</w:t>
            </w:r>
          </w:p>
        </w:tc>
        <w:tc>
          <w:tcPr>
            <w:tcW w:type="dxa" w:w="2880"/>
          </w:tcPr>
          <w:p>
            <w:r>
              <w:rPr>
                <w:color w:val="1A1C1E"/>
                <w:sz w:val="18"/>
              </w:rPr>
              <w:t>Env var SECRET_KEY with fallback</w:t>
            </w:r>
          </w:p>
        </w:tc>
        <w:tc>
          <w:tcPr>
            <w:tcW w:type="dxa" w:w="2880"/>
          </w:tcPr>
          <w:p>
            <w:r>
              <w:rPr>
                <w:color w:val="1A1C1E"/>
                <w:sz w:val="18"/>
              </w:rPr>
              <w:t>The development fallback ('astraflow-dev-secret-key-change-in-production') must be changed in production. Env var loading via python-dotenv.</w:t>
            </w:r>
          </w:p>
        </w:tc>
      </w:tr>
      <w:tr>
        <w:tc>
          <w:tcPr>
            <w:tcW w:type="dxa" w:w="2880"/>
          </w:tcPr>
          <w:p>
            <w:r>
              <w:rPr>
                <w:color w:val="1A1C1E"/>
                <w:sz w:val="18"/>
              </w:rPr>
              <w:t>Token storage</w:t>
            </w:r>
          </w:p>
        </w:tc>
        <w:tc>
          <w:tcPr>
            <w:tcW w:type="dxa" w:w="2880"/>
          </w:tcPr>
          <w:p>
            <w:r>
              <w:rPr>
                <w:color w:val="1A1C1E"/>
                <w:sz w:val="18"/>
              </w:rPr>
              <w:t>localStorage (web)</w:t>
            </w:r>
          </w:p>
        </w:tc>
        <w:tc>
          <w:tcPr>
            <w:tcW w:type="dxa" w:w="2880"/>
          </w:tcPr>
          <w:p>
            <w:r>
              <w:rPr>
                <w:color w:val="1A1C1E"/>
                <w:sz w:val="18"/>
              </w:rPr>
              <w:t>localStorage is accessible to JavaScript (XSS vulnerability). For production, consider httpOnly cookies or Secure Storage on mobile.</w:t>
            </w:r>
          </w:p>
        </w:tc>
      </w:tr>
    </w:tbl>
    <w:p/>
    <w:p>
      <w:pPr>
        <w:pStyle w:val="Heading2"/>
      </w:pPr>
      <w:r>
        <w:t>7.2 Data Protection</w:t>
      </w:r>
    </w:p>
    <w:p>
      <w:pPr>
        <w:pStyle w:val="ListBullet"/>
      </w:pPr>
      <w:r>
        <w:t>Passwords: Never stored in plaintext — only the bcrypt hash is persisted in the password_hash column. The hash is computed before the User object is committed to the database.</w:t>
      </w:r>
    </w:p>
    <w:p>
      <w:pPr>
        <w:pStyle w:val="ListBullet"/>
      </w:pPr>
      <w:r>
        <w:t>Database: Connection string (DATABASE_URL) read from environment variable, never hardcoded. Uses SQLAlchemy ORM parameterised queries, preventing SQL injection.</w:t>
      </w:r>
    </w:p>
    <w:p>
      <w:pPr>
        <w:pStyle w:val="ListBullet"/>
      </w:pPr>
      <w:r>
        <w:t>JWT payload: Only the user UUID is embedded in the sub claim. No sensitive data (email, password, personal info) is included in the JWT payload.</w:t>
      </w:r>
    </w:p>
    <w:p>
      <w:pPr>
        <w:pStyle w:val="Heading2"/>
      </w:pPr>
      <w:r>
        <w:t>7.3 Network Security</w:t>
      </w:r>
    </w:p>
    <w:p>
      <w:pPr>
        <w:pStyle w:val="ListBullet"/>
      </w:pPr>
      <w:r>
        <w:t>CORS: Currently configured with allow_origins=['*'] (all origins). While acceptable for development, production should restrict this to known frontend domains.</w:t>
      </w:r>
    </w:p>
    <w:p>
      <w:pPr>
        <w:pStyle w:val="ListBullet"/>
      </w:pPr>
      <w:r>
        <w:t>API protection: All sensitive endpoints (/dashboard, /predict, /surveys) are protected by the get_current_user() dependency. The /api/health endpoint is intentionally public.</w:t>
      </w:r>
    </w:p>
    <w:p>
      <w:pPr>
        <w:pStyle w:val="ListBullet"/>
      </w:pPr>
      <w:r>
        <w:t>Transport security: Assumes HTTPS in production (handled by Render/Vercel infrastructure). No TLS configuration is present in the application code.</w:t>
      </w:r>
    </w:p>
    <w:p>
      <w:pPr>
        <w:pStyle w:val="Heading2"/>
      </w:pPr>
      <w:r>
        <w:t>7.4 Identified Security Gaps</w:t>
      </w:r>
    </w:p>
    <w:p>
      <w:pPr>
        <w:pStyle w:val="ListBullet"/>
      </w:pPr>
      <w:r>
        <w:t>Rate limiting: No rate limiting is implemented on auth endpoints, making them susceptible to brute-force and credential stuffing attacks.</w:t>
      </w:r>
    </w:p>
    <w:p>
      <w:pPr>
        <w:pStyle w:val="ListBullet"/>
      </w:pPr>
      <w:r>
        <w:t>Input validation: Password strength is not enforced server-side during registration (no minimum length, complexity, or common-password checks beyond the frontend 'Min. 8 characters' hint).</w:t>
      </w:r>
    </w:p>
    <w:p>
      <w:pPr>
        <w:pStyle w:val="ListBullet"/>
      </w:pPr>
      <w:r>
        <w:t>Token revocation: No token blacklist or revocation mechanism exists. A leaked JWT remains valid until its 30-day expiry. A database-level 'last_password_change' or 'token_version' field would enable forced re-authentication.</w:t>
      </w:r>
    </w:p>
    <w:p>
      <w:pPr>
        <w:pStyle w:val="ListBullet"/>
      </w:pPr>
      <w:r>
        <w:t>HTTPS enforcement: No middleware or configuration enforces HTTPS at the application level.</w:t>
      </w:r>
    </w:p>
    <w:p>
      <w:r>
        <w:br w:type="page"/>
      </w:r>
    </w:p>
    <w:p>
      <w:pPr>
        <w:pStyle w:val="Heading1"/>
      </w:pPr>
      <w:r>
        <w:t>8. Performance Analysis</w:t>
      </w:r>
    </w:p>
    <w:p>
      <w:r>
        <w:t>This section evaluates the performance characteristics, bottlenecks, and optimisation opportunities across the frontend and backend.</w:t>
      </w:r>
    </w:p>
    <w:p>
      <w:pPr>
        <w:pStyle w:val="Heading2"/>
      </w:pPr>
      <w:r>
        <w:t>8.1 Frontend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Area</w:t>
            </w:r>
          </w:p>
        </w:tc>
        <w:tc>
          <w:tcPr>
            <w:tcW w:type="dxa" w:w="2880"/>
            <w:shd w:fill="003087" w:val="clear"/>
          </w:tcPr>
          <w:p>
            <w:r>
              <w:rPr>
                <w:b/>
                <w:color w:val="FFFFFF"/>
                <w:sz w:val="18"/>
              </w:rPr>
              <w:t>Current Behaviour</w:t>
            </w:r>
          </w:p>
        </w:tc>
        <w:tc>
          <w:tcPr>
            <w:tcW w:type="dxa" w:w="2880"/>
            <w:shd w:fill="003087" w:val="clear"/>
          </w:tcPr>
          <w:p>
            <w:r>
              <w:rPr>
                <w:b/>
                <w:color w:val="FFFFFF"/>
                <w:sz w:val="18"/>
              </w:rPr>
              <w:t>Assessment</w:t>
            </w:r>
          </w:p>
        </w:tc>
      </w:tr>
      <w:tr>
        <w:tc>
          <w:tcPr>
            <w:tcW w:type="dxa" w:w="2880"/>
          </w:tcPr>
          <w:p>
            <w:r>
              <w:rPr>
                <w:color w:val="1A1C1E"/>
                <w:sz w:val="18"/>
              </w:rPr>
              <w:t>Initial load</w:t>
            </w:r>
          </w:p>
        </w:tc>
        <w:tc>
          <w:tcPr>
            <w:tcW w:type="dxa" w:w="2880"/>
          </w:tcPr>
          <w:p>
            <w:r>
              <w:rPr>
                <w:color w:val="1A1C1E"/>
                <w:sz w:val="18"/>
              </w:rPr>
              <w:t>Splash screen (1500ms) + auth guard check + API fetch</w:t>
            </w:r>
          </w:p>
        </w:tc>
        <w:tc>
          <w:tcPr>
            <w:tcW w:type="dxa" w:w="2880"/>
          </w:tcPr>
          <w:p>
            <w:r>
              <w:rPr>
                <w:color w:val="1A1C1E"/>
                <w:sz w:val="18"/>
              </w:rPr>
              <w:t>The splash screen provides a branded delay, but the sequential nature (splash → auth check → API fetch) adds latency. Could be optimised with parallel auth+data fetching.</w:t>
            </w:r>
          </w:p>
        </w:tc>
      </w:tr>
      <w:tr>
        <w:tc>
          <w:tcPr>
            <w:tcW w:type="dxa" w:w="2880"/>
          </w:tcPr>
          <w:p>
            <w:r>
              <w:rPr>
                <w:color w:val="1A1C1E"/>
                <w:sz w:val="18"/>
              </w:rPr>
              <w:t>Skeleton loading</w:t>
            </w:r>
          </w:p>
        </w:tc>
        <w:tc>
          <w:tcPr>
            <w:tcW w:type="dxa" w:w="2880"/>
          </w:tcPr>
          <w:p>
            <w:r>
              <w:rPr>
                <w:color w:val="1A1C1E"/>
                <w:sz w:val="18"/>
              </w:rPr>
              <w:t>Shows placeholder blocks while data loads</w:t>
            </w:r>
          </w:p>
        </w:tc>
        <w:tc>
          <w:tcPr>
            <w:tcW w:type="dxa" w:w="2880"/>
          </w:tcPr>
          <w:p>
            <w:r>
              <w:rPr>
                <w:color w:val="1A1C1E"/>
                <w:sz w:val="18"/>
              </w:rPr>
              <w:t>Good UX pattern — reduces perceived wait time. The skeleton closely matches the layout of the real dashboard.</w:t>
            </w:r>
          </w:p>
        </w:tc>
      </w:tr>
      <w:tr>
        <w:tc>
          <w:tcPr>
            <w:tcW w:type="dxa" w:w="2880"/>
          </w:tcPr>
          <w:p>
            <w:r>
              <w:rPr>
                <w:color w:val="1A1C1E"/>
                <w:sz w:val="18"/>
              </w:rPr>
              <w:t>Pull-to-refresh</w:t>
            </w:r>
          </w:p>
        </w:tc>
        <w:tc>
          <w:tcPr>
            <w:tcW w:type="dxa" w:w="2880"/>
          </w:tcPr>
          <w:p>
            <w:r>
              <w:rPr>
                <w:color w:val="1A1C1E"/>
                <w:sz w:val="18"/>
              </w:rPr>
              <w:t>ScrollView RefreshControl on dashboard</w:t>
            </w:r>
          </w:p>
        </w:tc>
        <w:tc>
          <w:tcPr>
            <w:tcW w:type="dxa" w:w="2880"/>
          </w:tcPr>
          <w:p>
            <w:r>
              <w:rPr>
                <w:color w:val="1A1C1E"/>
                <w:sz w:val="18"/>
              </w:rPr>
              <w:t>Standard pattern for data freshness. Triggers API call without full page reload.</w:t>
            </w:r>
          </w:p>
        </w:tc>
      </w:tr>
      <w:tr>
        <w:tc>
          <w:tcPr>
            <w:tcW w:type="dxa" w:w="2880"/>
          </w:tcPr>
          <w:p>
            <w:r>
              <w:rPr>
                <w:color w:val="1A1C1E"/>
                <w:sz w:val="18"/>
              </w:rPr>
              <w:t>Mock fallback</w:t>
            </w:r>
          </w:p>
        </w:tc>
        <w:tc>
          <w:tcPr>
            <w:tcW w:type="dxa" w:w="2880"/>
          </w:tcPr>
          <w:p>
            <w:r>
              <w:rPr>
                <w:color w:val="1A1C1E"/>
                <w:sz w:val="18"/>
              </w:rPr>
              <w:t>Instant local data when API unreachable</w:t>
            </w:r>
          </w:p>
        </w:tc>
        <w:tc>
          <w:tcPr>
            <w:tcW w:type="dxa" w:w="2880"/>
          </w:tcPr>
          <w:p>
            <w:r>
              <w:rPr>
                <w:color w:val="1A1C1E"/>
                <w:sz w:val="18"/>
              </w:rPr>
              <w:t>Eliminates loading spinner hang-time during network failures. The Predict screen falls back synchronously.</w:t>
            </w:r>
          </w:p>
        </w:tc>
      </w:tr>
      <w:tr>
        <w:tc>
          <w:tcPr>
            <w:tcW w:type="dxa" w:w="2880"/>
          </w:tcPr>
          <w:p>
            <w:r>
              <w:rPr>
                <w:color w:val="1A1C1E"/>
                <w:sz w:val="18"/>
              </w:rPr>
              <w:t>API client</w:t>
            </w:r>
          </w:p>
        </w:tc>
        <w:tc>
          <w:tcPr>
            <w:tcW w:type="dxa" w:w="2880"/>
          </w:tcPr>
          <w:p>
            <w:r>
              <w:rPr>
                <w:color w:val="1A1C1E"/>
                <w:sz w:val="18"/>
              </w:rPr>
              <w:t>fetch() with no caching layer</w:t>
            </w:r>
          </w:p>
        </w:tc>
        <w:tc>
          <w:tcPr>
            <w:tcW w:type="dxa" w:w="2880"/>
          </w:tcPr>
          <w:p>
            <w:r>
              <w:rPr>
                <w:color w:val="1A1C1E"/>
                <w:sz w:val="18"/>
              </w:rPr>
              <w:t>Every screen load triggers a fresh API call. No ETag, cache-control, or client-side caching.</w:t>
            </w:r>
          </w:p>
        </w:tc>
      </w:tr>
      <w:tr>
        <w:tc>
          <w:tcPr>
            <w:tcW w:type="dxa" w:w="2880"/>
          </w:tcPr>
          <w:p>
            <w:r>
              <w:rPr>
                <w:color w:val="1A1C1E"/>
                <w:sz w:val="18"/>
              </w:rPr>
              <w:t>Bundle size</w:t>
            </w:r>
          </w:p>
        </w:tc>
        <w:tc>
          <w:tcPr>
            <w:tcW w:type="dxa" w:w="2880"/>
          </w:tcPr>
          <w:p>
            <w:r>
              <w:rPr>
                <w:color w:val="1A1C1E"/>
                <w:sz w:val="18"/>
              </w:rPr>
              <w:t>Expo managed workflow with Gluestack UI</w:t>
            </w:r>
          </w:p>
        </w:tc>
        <w:tc>
          <w:tcPr>
            <w:tcW w:type="dxa" w:w="2880"/>
          </w:tcPr>
          <w:p>
            <w:r>
              <w:rPr>
                <w:color w:val="1A1C1E"/>
                <w:sz w:val="18"/>
              </w:rPr>
              <w:t>Gluestack UI adds bundle weight. The app tree includes ~12 screen routes — consider lazy loading screens not in the initial route.</w:t>
            </w:r>
          </w:p>
        </w:tc>
      </w:tr>
    </w:tbl>
    <w:p/>
    <w:p>
      <w:pPr>
        <w:pStyle w:val="Heading2"/>
      </w:pPr>
      <w:r>
        <w:t>8.2 Backend Performance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Area</w:t>
            </w:r>
          </w:p>
        </w:tc>
        <w:tc>
          <w:tcPr>
            <w:tcW w:type="dxa" w:w="2880"/>
            <w:shd w:fill="003087" w:val="clear"/>
          </w:tcPr>
          <w:p>
            <w:r>
              <w:rPr>
                <w:b/>
                <w:color w:val="FFFFFF"/>
                <w:sz w:val="18"/>
              </w:rPr>
              <w:t>Current Behaviour</w:t>
            </w:r>
          </w:p>
        </w:tc>
        <w:tc>
          <w:tcPr>
            <w:tcW w:type="dxa" w:w="2880"/>
            <w:shd w:fill="003087" w:val="clear"/>
          </w:tcPr>
          <w:p>
            <w:r>
              <w:rPr>
                <w:b/>
                <w:color w:val="FFFFFF"/>
                <w:sz w:val="18"/>
              </w:rPr>
              <w:t>Assessment</w:t>
            </w:r>
          </w:p>
        </w:tc>
      </w:tr>
      <w:tr>
        <w:tc>
          <w:tcPr>
            <w:tcW w:type="dxa" w:w="2880"/>
          </w:tcPr>
          <w:p>
            <w:r>
              <w:rPr>
                <w:color w:val="1A1C1E"/>
                <w:sz w:val="18"/>
              </w:rPr>
              <w:t>Connection pooling</w:t>
            </w:r>
          </w:p>
        </w:tc>
        <w:tc>
          <w:tcPr>
            <w:tcW w:type="dxa" w:w="2880"/>
          </w:tcPr>
          <w:p>
            <w:r>
              <w:rPr>
                <w:color w:val="1A1C1E"/>
                <w:sz w:val="18"/>
              </w:rPr>
              <w:t>pool_size=5, max_overflow=10, pool_pre_ping=True</w:t>
            </w:r>
          </w:p>
        </w:tc>
        <w:tc>
          <w:tcPr>
            <w:tcW w:type="dxa" w:w="2880"/>
          </w:tcPr>
          <w:p>
            <w:r>
              <w:rPr>
                <w:color w:val="1A1C1E"/>
                <w:sz w:val="18"/>
              </w:rPr>
              <w:t>Reasonable defaults for moderate traffic. pool_pre_ping prevents stale connections.</w:t>
            </w:r>
          </w:p>
        </w:tc>
      </w:tr>
      <w:tr>
        <w:tc>
          <w:tcPr>
            <w:tcW w:type="dxa" w:w="2880"/>
          </w:tcPr>
          <w:p>
            <w:r>
              <w:rPr>
                <w:color w:val="1A1C1E"/>
                <w:sz w:val="18"/>
              </w:rPr>
              <w:t>Auto-migration</w:t>
            </w:r>
          </w:p>
        </w:tc>
        <w:tc>
          <w:tcPr>
            <w:tcW w:type="dxa" w:w="2880"/>
          </w:tcPr>
          <w:p>
            <w:r>
              <w:rPr>
                <w:color w:val="1A1C1E"/>
                <w:sz w:val="18"/>
              </w:rPr>
              <w:t>Base.metadata.create_all() on every startup</w:t>
            </w:r>
          </w:p>
        </w:tc>
        <w:tc>
          <w:tcPr>
            <w:tcW w:type="dxa" w:w="2880"/>
          </w:tcPr>
          <w:p>
            <w:r>
              <w:rPr>
                <w:color w:val="1A1C1E"/>
                <w:sz w:val="18"/>
              </w:rPr>
              <w:t>Fast for existing tables (no-op), but adds ~100-300ms to startup. Acceptable for development; production should use Alembic migrations explicitly.</w:t>
            </w:r>
          </w:p>
        </w:tc>
      </w:tr>
      <w:tr>
        <w:tc>
          <w:tcPr>
            <w:tcW w:type="dxa" w:w="2880"/>
          </w:tcPr>
          <w:p>
            <w:r>
              <w:rPr>
                <w:color w:val="1A1C1E"/>
                <w:sz w:val="18"/>
              </w:rPr>
              <w:t>Query patterns</w:t>
            </w:r>
          </w:p>
        </w:tc>
        <w:tc>
          <w:tcPr>
            <w:tcW w:type="dxa" w:w="2880"/>
          </w:tcPr>
          <w:p>
            <w:r>
              <w:rPr>
                <w:color w:val="1A1C1E"/>
                <w:sz w:val="18"/>
              </w:rPr>
              <w:t>Simple single-table queries with one filter</w:t>
            </w:r>
          </w:p>
        </w:tc>
        <w:tc>
          <w:tcPr>
            <w:tcW w:type="dxa" w:w="2880"/>
          </w:tcPr>
          <w:p>
            <w:r>
              <w:rPr>
                <w:color w:val="1A1C1E"/>
                <w:sz w:val="18"/>
              </w:rPr>
              <w:t>No N+1 query problems identified. All dashboard data is derived from a single User query plus hardcoded/dictionary lookups.</w:t>
            </w:r>
          </w:p>
        </w:tc>
      </w:tr>
      <w:tr>
        <w:tc>
          <w:tcPr>
            <w:tcW w:type="dxa" w:w="2880"/>
          </w:tcPr>
          <w:p>
            <w:r>
              <w:rPr>
                <w:color w:val="1A1C1E"/>
                <w:sz w:val="18"/>
              </w:rPr>
              <w:t>Prediction endpoint</w:t>
            </w:r>
          </w:p>
        </w:tc>
        <w:tc>
          <w:tcPr>
            <w:tcW w:type="dxa" w:w="2880"/>
          </w:tcPr>
          <w:p>
            <w:r>
              <w:rPr>
                <w:color w:val="1A1C1E"/>
                <w:sz w:val="18"/>
              </w:rPr>
              <w:t>O(1) — pure arithmetic, no DB reads</w:t>
            </w:r>
          </w:p>
        </w:tc>
        <w:tc>
          <w:tcPr>
            <w:tcW w:type="dxa" w:w="2880"/>
          </w:tcPr>
          <w:p>
            <w:r>
              <w:rPr>
                <w:color w:val="1A1C1E"/>
                <w:sz w:val="18"/>
              </w:rPr>
              <w:t>Fastest endpoint. Computes three formulas and returns immediately.</w:t>
            </w:r>
          </w:p>
        </w:tc>
      </w:tr>
      <w:tr>
        <w:tc>
          <w:tcPr>
            <w:tcW w:type="dxa" w:w="2880"/>
          </w:tcPr>
          <w:p>
            <w:r>
              <w:rPr>
                <w:color w:val="1A1C1E"/>
                <w:sz w:val="18"/>
              </w:rPr>
              <w:t>Survey insights</w:t>
            </w:r>
          </w:p>
        </w:tc>
        <w:tc>
          <w:tcPr>
            <w:tcW w:type="dxa" w:w="2880"/>
          </w:tcPr>
          <w:p>
            <w:r>
              <w:rPr>
                <w:color w:val="1A1C1E"/>
                <w:sz w:val="18"/>
              </w:rPr>
              <w:t>Two queries: full table scan for impact count + filtered user query</w:t>
            </w:r>
          </w:p>
        </w:tc>
        <w:tc>
          <w:tcPr>
            <w:tcW w:type="dxa" w:w="2880"/>
          </w:tcPr>
          <w:p>
            <w:r>
              <w:rPr>
                <w:color w:val="1A1C1E"/>
                <w:sz w:val="18"/>
              </w:rPr>
              <w:t>The impact_distribution query (db.query(Survey).all()) fetches all rows. Will degrade with thousands of surveys. Consider a GROUP BY aggregation query instead.</w:t>
            </w:r>
          </w:p>
        </w:tc>
      </w:tr>
      <w:tr>
        <w:tc>
          <w:tcPr>
            <w:tcW w:type="dxa" w:w="2880"/>
          </w:tcPr>
          <w:p>
            <w:r>
              <w:rPr>
                <w:color w:val="1A1C1E"/>
                <w:sz w:val="18"/>
              </w:rPr>
              <w:t>Auth overhead</w:t>
            </w:r>
          </w:p>
        </w:tc>
        <w:tc>
          <w:tcPr>
            <w:tcW w:type="dxa" w:w="2880"/>
          </w:tcPr>
          <w:p>
            <w:r>
              <w:rPr>
                <w:color w:val="1A1C1E"/>
                <w:sz w:val="18"/>
              </w:rPr>
              <w:t>bcrypt hash (~60ms) + JWT encode/decode (~1ms)</w:t>
            </w:r>
          </w:p>
        </w:tc>
        <w:tc>
          <w:tcPr>
            <w:tcW w:type="dxa" w:w="2880"/>
          </w:tcPr>
          <w:p>
            <w:r>
              <w:rPr>
                <w:color w:val="1A1C1E"/>
                <w:sz w:val="18"/>
              </w:rPr>
              <w:t>bcrypt is intentionally slow (secure). Login/register endpoints are the slowest. Acceptable for auth frequency.</w:t>
            </w:r>
          </w:p>
        </w:tc>
      </w:tr>
    </w:tbl>
    <w:p/>
    <w:p>
      <w:pPr>
        <w:pStyle w:val="Heading2"/>
      </w:pPr>
      <w:r>
        <w:t>8.3 Identified Optimisation Opportunities</w:t>
      </w:r>
    </w:p>
    <w:p>
      <w:pPr>
        <w:pStyle w:val="ListBullet"/>
      </w:pPr>
      <w:r>
        <w:t>Database: Replace Survey insights full-table scan with a GROUP BY aggregation: db.query(Survey.impact_level, func.count(Survey.id)).group_by(Survey.impact_level).all().</w:t>
      </w:r>
    </w:p>
    <w:p>
      <w:pPr>
        <w:pStyle w:val="ListBullet"/>
      </w:pPr>
      <w:r>
        <w:t>Frontend caching: Implement a lightweight in-memory cache (e.g., React Query or SWR) for dashboard data to avoid redundant API calls within the same session.</w:t>
      </w:r>
    </w:p>
    <w:p>
      <w:pPr>
        <w:pStyle w:val="ListBullet"/>
      </w:pPr>
      <w:r>
        <w:t>Lazy loading: Use Expo Router's lazy loading for screens outside the initial route to reduce the initial JavaScript bundle size.</w:t>
      </w:r>
    </w:p>
    <w:p>
      <w:pPr>
        <w:pStyle w:val="ListBullet"/>
      </w:pPr>
      <w:r>
        <w:t>Startup time: Remove the 1500ms forced splash delay once the auth check completes, or run the splash and API fetch in parallel.</w:t>
      </w:r>
    </w:p>
    <w:p>
      <w:r>
        <w:br w:type="page"/>
      </w:r>
    </w:p>
    <w:p>
      <w:pPr>
        <w:pStyle w:val="Heading1"/>
      </w:pPr>
      <w:r>
        <w:t>9. System Integration — Collective Behaviour</w:t>
      </w:r>
    </w:p>
    <w:p>
      <w:r>
        <w:t>This section describes how all components work together as a unified system, tracing the complete lifecycle from user action to data persistence and back.</w:t>
      </w:r>
    </w:p>
    <w:p>
      <w:pPr>
        <w:pStyle w:val="Heading2"/>
      </w:pPr>
      <w:r>
        <w:t>9.1 The Request-Response Cycle</w:t>
      </w:r>
    </w:p>
    <w:p>
      <w:r>
        <w:t>Every authenticated user interaction follows this complete cycle:</w:t>
      </w:r>
    </w:p>
    <w:p>
      <w:pPr>
        <w:spacing w:after="20"/>
      </w:pPr>
      <w:r>
        <w:t>1. User taps/interacts with the UI (React Native gesture → event handler invoked).</w:t>
      </w:r>
    </w:p>
    <w:p>
      <w:pPr>
        <w:spacing w:after="20"/>
      </w:pPr>
      <w:r>
        <w:t>2. Screen state updates (loading=true, error cleared).</w:t>
      </w:r>
    </w:p>
    <w:p>
      <w:pPr>
        <w:spacing w:after="20"/>
      </w:pPr>
      <w:r>
        <w:t>3. API call is dispatched via the typed api namespace in src/services/api.ts.</w:t>
      </w:r>
    </w:p>
    <w:p>
      <w:pPr>
        <w:spacing w:after="20"/>
      </w:pPr>
      <w:r>
        <w:t>4. The API client reads the JWT from localStorage and attaches Authorization: Bearer header.</w:t>
      </w:r>
    </w:p>
    <w:p>
      <w:pPr>
        <w:spacing w:after="20"/>
      </w:pPr>
      <w:r>
        <w:t>5. fetch() sends an HTTP request to the FastAPI backend at localhost:8000 (dev) or production URL.</w:t>
      </w:r>
    </w:p>
    <w:p>
      <w:pPr>
        <w:spacing w:after="20"/>
      </w:pPr>
      <w:r>
        <w:t>6. FastAPI routing matches the path and method to the appropriate route handler.</w:t>
      </w:r>
    </w:p>
    <w:p>
      <w:pPr>
        <w:spacing w:after="20"/>
      </w:pPr>
      <w:r>
        <w:t>7. If the route is protected, get_current_user() dependency extracts and verifies the Bearer token.</w:t>
      </w:r>
    </w:p>
    <w:p>
      <w:pPr>
        <w:spacing w:after="20"/>
      </w:pPr>
      <w:r>
        <w:t>8. The route handler performs business logic (query DB, compute values, look up recommendations).</w:t>
      </w:r>
    </w:p>
    <w:p>
      <w:pPr>
        <w:spacing w:after="20"/>
      </w:pPr>
      <w:r>
        <w:t>9. SQLAlchemy executes parameterised queries against Supabase PostgreSQL.</w:t>
      </w:r>
    </w:p>
    <w:p>
      <w:pPr>
        <w:spacing w:after="20"/>
      </w:pPr>
      <w:r>
        <w:t>10. The handler returns a Pydantic-validated JSON response.</w:t>
      </w:r>
    </w:p>
    <w:p>
      <w:pPr>
        <w:spacing w:after="20"/>
      </w:pPr>
      <w:r>
        <w:t>11. The API client receives the JSON, validates it against the expected TypeScript type, and returns it.</w:t>
      </w:r>
    </w:p>
    <w:p>
      <w:pPr>
        <w:spacing w:after="20"/>
      </w:pPr>
      <w:r>
        <w:t>12. The screen setState() is called with the response data.</w:t>
      </w:r>
    </w:p>
    <w:p>
      <w:pPr>
        <w:spacing w:after="20"/>
      </w:pPr>
      <w:r>
        <w:t>13. React re-renders the view with the new data (cards, charts, metrics).</w:t>
      </w:r>
    </w:p>
    <w:p>
      <w:pPr>
        <w:spacing w:after="20"/>
      </w:pPr>
      <w:r>
        <w:t>14. Skeleton loaders are replaced with real content.</w:t>
      </w:r>
    </w:p>
    <w:p>
      <w:pPr>
        <w:spacing w:after="20"/>
      </w:pPr>
      <w:r>
        <w:t>15. If any step in the chain fails (network, auth, server error), the error handling path activates: error state is set, error banner is displayed, mock data may be used as fallback.</w:t>
      </w:r>
    </w:p>
    <w:p>
      <w:pPr>
        <w:pStyle w:val="Heading2"/>
      </w:pPr>
      <w:r>
        <w:t>9.2 Component Dependency Graph</w:t>
      </w:r>
    </w:p>
    <w:p>
      <w:r>
        <w:t>The key dependency relationships in the system:</w:t>
      </w:r>
    </w:p>
    <w:p>
      <w:pPr>
        <w:pStyle w:val="ListBullet"/>
        <w:spacing w:after="20"/>
      </w:pPr>
      <w:r>
        <w:t>_layout.tsx depends on: theme/azure-clarity.ts (GluestackUI config), services/auth.ts (isAuthenticated), expo-router (Stack/useSegments).</w:t>
      </w:r>
    </w:p>
    <w:p>
      <w:pPr>
        <w:pStyle w:val="ListBullet"/>
        <w:spacing w:after="20"/>
      </w:pPr>
      <w:r>
        <w:t>(tabs)/index.tsx depends on: services/api.ts (api.dashboard.get), services/auth.ts (getUser), components/* (SkeletonBlock).</w:t>
      </w:r>
    </w:p>
    <w:p>
      <w:pPr>
        <w:pStyle w:val="ListBullet"/>
        <w:spacing w:after="20"/>
      </w:pPr>
      <w:r>
        <w:t>(tabs)/predict.tsx depends on: services/api.ts (api.predict.get).</w:t>
      </w:r>
    </w:p>
    <w:p>
      <w:pPr>
        <w:pStyle w:val="ListBullet"/>
        <w:spacing w:after="20"/>
      </w:pPr>
      <w:r>
        <w:t>survey.tsx depends on: services/api.ts (api.surveys.submit).</w:t>
      </w:r>
    </w:p>
    <w:p>
      <w:pPr>
        <w:pStyle w:val="ListBullet"/>
        <w:spacing w:after="20"/>
      </w:pPr>
      <w:r>
        <w:t>services/api.ts depends on: services/auth.ts (getToken, clearToken).</w:t>
      </w:r>
    </w:p>
    <w:p>
      <w:pPr>
        <w:pStyle w:val="ListBullet"/>
        <w:spacing w:after="20"/>
      </w:pPr>
      <w:r>
        <w:t>backend/routes/dashboard.py depends on: backend/services/auth.py (decode_access_token), backend/models/user.py (User), backend/db/database.py (get_db).</w:t>
      </w:r>
    </w:p>
    <w:p>
      <w:pPr>
        <w:pStyle w:val="ListBullet"/>
        <w:spacing w:after="20"/>
      </w:pPr>
      <w:r>
        <w:t>backend/routes/auth.py depends on: backend/services/auth.py (hash/verify/create_token), backend/models/user.py (User, BusinessType), backend/db/database.py (get_db).</w:t>
      </w:r>
    </w:p>
    <w:p>
      <w:pPr>
        <w:pStyle w:val="ListBullet"/>
        <w:spacing w:after="20"/>
      </w:pPr>
      <w:r>
        <w:t>backend/routes/predict.py depends on: backend/routes/dashboard.py (get_current_user).</w:t>
      </w:r>
    </w:p>
    <w:p>
      <w:pPr>
        <w:pStyle w:val="Heading2"/>
      </w:pPr>
      <w:r>
        <w:t>9.3 Failure Mode Analysis</w:t>
      </w:r>
    </w:p>
    <w:p>
      <w:r>
        <w:t>The system is designed to degrade gracefully under various failure conditions:</w:t>
      </w:r>
    </w:p>
    <w:p>
      <w:pPr>
        <w:spacing w:after="40"/>
      </w:pPr>
      <w:r>
        <w:rPr>
          <w:b/>
          <w:sz w:val="20"/>
        </w:rPr>
        <w:t xml:space="preserve">Backend unreachable: </w:t>
      </w:r>
      <w:r>
        <w:rPr>
          <w:sz w:val="20"/>
        </w:rPr>
        <w:t>Frontend falls back to MOCK_DATA (dashboard) or MOCK_RESULT (predict). Error banners inform the user. All UI remains functional with estimated data.</w:t>
      </w:r>
    </w:p>
    <w:p>
      <w:pPr>
        <w:spacing w:after="40"/>
      </w:pPr>
      <w:r>
        <w:rPr>
          <w:b/>
          <w:sz w:val="20"/>
        </w:rPr>
        <w:t xml:space="preserve">JWT expired: </w:t>
      </w:r>
      <w:r>
        <w:rPr>
          <w:sz w:val="20"/>
        </w:rPr>
        <w:t>API client catches 401 and calls clearToken(). The protected route guard on the next render redirects to /login.</w:t>
      </w:r>
    </w:p>
    <w:p>
      <w:pPr>
        <w:spacing w:after="40"/>
      </w:pPr>
      <w:r>
        <w:rPr>
          <w:b/>
          <w:sz w:val="20"/>
        </w:rPr>
        <w:t xml:space="preserve">Invalid business type on register: </w:t>
      </w:r>
      <w:r>
        <w:rPr>
          <w:sz w:val="20"/>
        </w:rPr>
        <w:t>Server returns 400 'Invalid business type'. Frontend Alert displays the error.</w:t>
      </w:r>
    </w:p>
    <w:p>
      <w:pPr>
        <w:spacing w:after="40"/>
      </w:pPr>
      <w:r>
        <w:rPr>
          <w:b/>
          <w:sz w:val="20"/>
        </w:rPr>
        <w:t xml:space="preserve">Duplicate email on register: </w:t>
      </w:r>
      <w:r>
        <w:rPr>
          <w:sz w:val="20"/>
        </w:rPr>
        <w:t>Server returns 400 'Email already registered'. Frontend Alert displays the error.</w:t>
      </w:r>
    </w:p>
    <w:p>
      <w:pPr>
        <w:spacing w:after="40"/>
      </w:pPr>
      <w:r>
        <w:rPr>
          <w:b/>
          <w:sz w:val="20"/>
        </w:rPr>
        <w:t xml:space="preserve">Database connection failure: </w:t>
      </w:r>
      <w:r>
        <w:rPr>
          <w:sz w:val="20"/>
        </w:rPr>
        <w:t>Startup init_db() will throw. FastAPI returns 500 on any subsequent request. No graceful recovery at the backend level — requires restart or health check.</w:t>
      </w:r>
    </w:p>
    <w:p>
      <w:r>
        <w:br w:type="page"/>
      </w:r>
    </w:p>
    <w:p>
      <w:pPr>
        <w:pStyle w:val="Heading1"/>
      </w:pPr>
      <w:r>
        <w:t>10. Deployment Architecture</w:t>
      </w:r>
    </w:p>
    <w:p>
      <w:pPr>
        <w:pStyle w:val="Heading2"/>
      </w:pPr>
      <w:r>
        <w:t>10.1 Production Infrastructure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03087" w:val="clear"/>
          </w:tcPr>
          <w:p>
            <w:r>
              <w:rPr>
                <w:b/>
                <w:color w:val="FFFFFF"/>
                <w:sz w:val="18"/>
              </w:rPr>
              <w:t>Component</w:t>
            </w:r>
          </w:p>
        </w:tc>
        <w:tc>
          <w:tcPr>
            <w:tcW w:type="dxa" w:w="2880"/>
            <w:shd w:fill="003087" w:val="clear"/>
          </w:tcPr>
          <w:p>
            <w:r>
              <w:rPr>
                <w:b/>
                <w:color w:val="FFFFFF"/>
                <w:sz w:val="18"/>
              </w:rPr>
              <w:t>Platform</w:t>
            </w:r>
          </w:p>
        </w:tc>
        <w:tc>
          <w:tcPr>
            <w:tcW w:type="dxa" w:w="2880"/>
            <w:shd w:fill="003087" w:val="clear"/>
          </w:tcPr>
          <w:p>
            <w:r>
              <w:rPr>
                <w:b/>
                <w:color w:val="FFFFFF"/>
                <w:sz w:val="18"/>
              </w:rPr>
              <w:t>Configuration</w:t>
            </w:r>
          </w:p>
        </w:tc>
      </w:tr>
      <w:tr>
        <w:tc>
          <w:tcPr>
            <w:tcW w:type="dxa" w:w="2880"/>
          </w:tcPr>
          <w:p>
            <w:r>
              <w:rPr>
                <w:color w:val="1A1C1E"/>
                <w:sz w:val="18"/>
              </w:rPr>
              <w:t>Backend API</w:t>
            </w:r>
          </w:p>
        </w:tc>
        <w:tc>
          <w:tcPr>
            <w:tcW w:type="dxa" w:w="2880"/>
          </w:tcPr>
          <w:p>
            <w:r>
              <w:rPr>
                <w:color w:val="1A1C1E"/>
                <w:sz w:val="18"/>
              </w:rPr>
              <w:t>Render (Web Service)</w:t>
            </w:r>
          </w:p>
        </w:tc>
        <w:tc>
          <w:tcPr>
            <w:tcW w:type="dxa" w:w="2880"/>
          </w:tcPr>
          <w:p>
            <w:r>
              <w:rPr>
                <w:color w:val="1A1C1E"/>
                <w:sz w:val="18"/>
              </w:rPr>
              <w:t>Python 3.12, Docker container, Oregon region, Free tier, auto-start via uvicorn main:app.</w:t>
            </w:r>
          </w:p>
        </w:tc>
      </w:tr>
      <w:tr>
        <w:tc>
          <w:tcPr>
            <w:tcW w:type="dxa" w:w="2880"/>
          </w:tcPr>
          <w:p>
            <w:r>
              <w:rPr>
                <w:color w:val="1A1C1E"/>
                <w:sz w:val="18"/>
              </w:rPr>
              <w:t>Frontend Web</w:t>
            </w:r>
          </w:p>
        </w:tc>
        <w:tc>
          <w:tcPr>
            <w:tcW w:type="dxa" w:w="2880"/>
          </w:tcPr>
          <w:p>
            <w:r>
              <w:rPr>
                <w:color w:val="1A1C1E"/>
                <w:sz w:val="18"/>
              </w:rPr>
              <w:t>Vercel (Static Export)</w:t>
            </w:r>
          </w:p>
        </w:tc>
        <w:tc>
          <w:tcPr>
            <w:tcW w:type="dxa" w:w="2880"/>
          </w:tcPr>
          <w:p>
            <w:r>
              <w:rPr>
                <w:color w:val="1A1C1E"/>
                <w:sz w:val="18"/>
              </w:rPr>
              <w:t>npx expo export --platform web, SPA rewrites for client-side routing.</w:t>
            </w:r>
          </w:p>
        </w:tc>
      </w:tr>
      <w:tr>
        <w:tc>
          <w:tcPr>
            <w:tcW w:type="dxa" w:w="2880"/>
          </w:tcPr>
          <w:p>
            <w:r>
              <w:rPr>
                <w:color w:val="1A1C1E"/>
                <w:sz w:val="18"/>
              </w:rPr>
              <w:t>Database</w:t>
            </w:r>
          </w:p>
        </w:tc>
        <w:tc>
          <w:tcPr>
            <w:tcW w:type="dxa" w:w="2880"/>
          </w:tcPr>
          <w:p>
            <w:r>
              <w:rPr>
                <w:color w:val="1A1C1E"/>
                <w:sz w:val="18"/>
              </w:rPr>
              <w:t>Supabase (PostgreSQL)</w:t>
            </w:r>
          </w:p>
        </w:tc>
        <w:tc>
          <w:tcPr>
            <w:tcW w:type="dxa" w:w="2880"/>
          </w:tcPr>
          <w:p>
            <w:r>
              <w:rPr>
                <w:color w:val="1A1C1E"/>
                <w:sz w:val="18"/>
              </w:rPr>
              <w:t>Managed PostgreSQL with connection pooling, SSL enforced.</w:t>
            </w:r>
          </w:p>
        </w:tc>
      </w:tr>
      <w:tr>
        <w:tc>
          <w:tcPr>
            <w:tcW w:type="dxa" w:w="2880"/>
          </w:tcPr>
          <w:p>
            <w:r>
              <w:rPr>
                <w:color w:val="1A1C1E"/>
                <w:sz w:val="18"/>
              </w:rPr>
              <w:t>Containerisation</w:t>
            </w:r>
          </w:p>
        </w:tc>
        <w:tc>
          <w:tcPr>
            <w:tcW w:type="dxa" w:w="2880"/>
          </w:tcPr>
          <w:p>
            <w:r>
              <w:rPr>
                <w:color w:val="1A1C1E"/>
                <w:sz w:val="18"/>
              </w:rPr>
              <w:t>Docker</w:t>
            </w:r>
          </w:p>
        </w:tc>
        <w:tc>
          <w:tcPr>
            <w:tcW w:type="dxa" w:w="2880"/>
          </w:tcPr>
          <w:p>
            <w:r>
              <w:rPr>
                <w:color w:val="1A1C1E"/>
                <w:sz w:val="18"/>
              </w:rPr>
              <w:t>python:3.12-slim base, libpq-dev + gcc for psycopg2, pip installs, exposes port 8000.</w:t>
            </w:r>
          </w:p>
        </w:tc>
      </w:tr>
    </w:tbl>
    <w:p/>
    <w:p>
      <w:pPr>
        <w:pStyle w:val="Heading2"/>
      </w:pPr>
      <w:r>
        <w:t>10.2 Environment Configuration</w:t>
      </w:r>
    </w:p>
    <w:p>
      <w:r>
        <w:t>The backend reads two critical environment variables: DATABASE_URL (Supabase PostgreSQL connection string) and SECRET_KEY (JWT signing secret). These are loaded via python-dotenv from backend/.env in development and set as environment variables in the Render dashboard for production.</w:t>
      </w:r>
    </w:p>
    <w:p>
      <w:pPr>
        <w:pStyle w:val="Heading2"/>
      </w:pPr>
      <w:r>
        <w:t>10.3 CI/CD Considerations</w:t>
      </w:r>
    </w:p>
    <w:p>
      <w:r>
        <w:t>Render auto-deploys from the Git repository on every push to the main branch. Vercel similarly auto-deploys the web frontend. The Dockerfile provides a reproducible build environment with exact Python dependency versions pinned in requirements.txt.</w:t>
      </w:r>
    </w:p>
    <w:p>
      <w:r>
        <w:br w:type="page"/>
      </w:r>
    </w:p>
    <w:p>
      <w:pPr>
        <w:pStyle w:val="Heading1"/>
      </w:pPr>
      <w:r>
        <w:t>11. Future Roadmap</w:t>
      </w:r>
    </w:p>
    <w:p>
      <w:r>
        <w:t>The following capabilities are planned or enabled by the existing infrastructure:</w:t>
      </w:r>
    </w:p>
    <w:p>
      <w:pPr>
        <w:pStyle w:val="Heading2"/>
      </w:pPr>
      <w:r>
        <w:t>11.1 ML/AI Predictive Modelling</w:t>
      </w:r>
    </w:p>
    <w:p>
      <w:r>
        <w:t>The backend/ml/ directory exists as a placeholder, and scikit-learn, pandas, and numpy are already installed as dependencies. The intended evolution is to replace the current hardcoded prediction constants (price_per_liter=1.62, carbon_per_liter=2.3, future_increase_pct=4.2) with data-driven models that analyse historical fuel price data from the fuel_prices table using time-series forecasting (e.g., ARIMA, Prophet, or LSTM).</w:t>
      </w:r>
    </w:p>
    <w:p>
      <w:pPr>
        <w:pStyle w:val="Heading2"/>
      </w:pPr>
      <w:r>
        <w:t>11.2 Planned Enhancements</w:t>
      </w:r>
    </w:p>
    <w:p>
      <w:pPr>
        <w:pStyle w:val="ListBullet"/>
      </w:pPr>
      <w:r>
        <w:t>Asymmetric JWT signing (RS256) for distributed microservice architecture.</w:t>
      </w:r>
    </w:p>
    <w:p>
      <w:pPr>
        <w:pStyle w:val="ListBullet"/>
      </w:pPr>
      <w:r>
        <w:t>Refresh token rotation for improved session security.</w:t>
      </w:r>
    </w:p>
    <w:p>
      <w:pPr>
        <w:pStyle w:val="ListBullet"/>
      </w:pPr>
      <w:r>
        <w:t>Server-side rate limiting on auth endpoints (e.g., via slowapi or middleware).</w:t>
      </w:r>
    </w:p>
    <w:p>
      <w:pPr>
        <w:pStyle w:val="ListBullet"/>
      </w:pPr>
      <w:r>
        <w:t>Password strength validation and common-password checking.</w:t>
      </w:r>
    </w:p>
    <w:p>
      <w:pPr>
        <w:pStyle w:val="ListBullet"/>
      </w:pPr>
      <w:r>
        <w:t>Role-based access control (RBAC) for multi-tenant business accounts.</w:t>
      </w:r>
    </w:p>
    <w:p>
      <w:pPr>
        <w:pStyle w:val="ListBullet"/>
      </w:pPr>
      <w:r>
        <w:t>Real-time price updates via WebSocket connections.</w:t>
      </w:r>
    </w:p>
    <w:p>
      <w:pPr>
        <w:pStyle w:val="ListBullet"/>
      </w:pPr>
      <w:r>
        <w:t>Push notifications for price alert thresholds.</w:t>
      </w:r>
    </w:p>
    <w:p>
      <w:pPr>
        <w:pStyle w:val="ListBullet"/>
      </w:pPr>
      <w:r>
        <w:t>Native mobile auth via biometrics (Face ID / fingerprint).</w:t>
      </w:r>
    </w:p>
    <w:p>
      <w:pPr>
        <w:pStyle w:val="ListBullet"/>
      </w:pPr>
      <w:r>
        <w:t>Offline-first data persistence using SQLite or AsyncStorage sync.</w:t>
      </w:r>
    </w:p>
    <w:p>
      <w:pPr>
        <w:pStyle w:val="ListBullet"/>
      </w:pPr>
      <w:r>
        <w:t>Price prediction model training pipeline with automated retraining.</w:t>
      </w:r>
    </w:p>
    <w:p/>
    <w:p>
      <w:pPr>
        <w:jc w:val="center"/>
      </w:pPr>
      <w:r>
        <w:rPr>
          <w:i/>
          <w:color w:val="747683"/>
          <w:sz w:val="2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03087"/>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3087"/>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C41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