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1348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gcu_c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48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/>
          <w:b/>
          <w:color w:val="004785"/>
          <w:sz w:val="44"/>
        </w:rPr>
        <w:t>Construction Management at FGCU</w:t>
      </w:r>
    </w:p>
    <w:p>
      <w:pPr>
        <w:spacing w:after="120"/>
        <w:jc w:val="center"/>
      </w:pPr>
      <w:r>
        <w:rPr>
          <w:rFonts w:ascii="Arial" w:hAnsi="Arial"/>
          <w:b/>
          <w:color w:val="55626E"/>
          <w:sz w:val="20"/>
        </w:rPr>
        <w:t>Industry Partner Brief  |  Fall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EAF2F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8" w:color="004785"/>
              <w:start w:val="nil"/>
              <w:bottom w:val="single" w:sz="4" w:color="D9E0E5"/>
              <w:end w:val="nil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2933"/>
                <w:sz w:val="19"/>
              </w:rPr>
              <w:t>Established Summer 2019  •  ACCE-accredited BSCM  •  12 full-time + 11 adjunct faculty and staff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5626E"/>
                <w:sz w:val="18"/>
              </w:rPr>
              <w:t>A fast-growing, industry-connected program focused on career-ready learning and regional workforce needs.</w:t>
            </w:r>
          </w:p>
        </w:tc>
      </w:tr>
    </w:tbl>
    <w:p>
      <w:pPr>
        <w:keepNext/>
        <w:spacing w:before="120" w:after="80"/>
      </w:pPr>
      <w:r>
        <w:rPr>
          <w:rFonts w:ascii="Arial" w:hAnsi="Arial"/>
          <w:b/>
          <w:color w:val="004785"/>
          <w:sz w:val="32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27"/>
            <w:shd w:fill="F4F6F8"/>
            <w:tcMar>
              <w:top w:w="105" w:type="dxa"/>
              <w:start w:w="100" w:type="dxa"/>
              <w:bottom w:w="95" w:type="dxa"/>
              <w:end w:w="100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004785"/>
                <w:sz w:val="38"/>
              </w:rPr>
              <w:t>475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F2933"/>
                <w:sz w:val="17"/>
              </w:rPr>
              <w:t>BSCM students currently enrolled</w:t>
            </w:r>
          </w:p>
        </w:tc>
        <w:tc>
          <w:tcPr>
            <w:tcW w:type="dxa" w:w="3427"/>
            <w:shd w:fill="F4F6F8"/>
            <w:tcMar>
              <w:top w:w="105" w:type="dxa"/>
              <w:start w:w="100" w:type="dxa"/>
              <w:bottom w:w="95" w:type="dxa"/>
              <w:end w:w="100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009366"/>
                <w:sz w:val="38"/>
              </w:rPr>
              <w:t>69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F2933"/>
                <w:sz w:val="17"/>
              </w:rPr>
              <w:t>graduates last academic year</w:t>
            </w:r>
          </w:p>
        </w:tc>
        <w:tc>
          <w:tcPr>
            <w:tcW w:type="dxa" w:w="3427"/>
            <w:shd w:fill="F4F6F8"/>
            <w:tcMar>
              <w:top w:w="105" w:type="dxa"/>
              <w:start w:w="100" w:type="dxa"/>
              <w:bottom w:w="95" w:type="dxa"/>
              <w:end w:w="100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004785"/>
                <w:sz w:val="38"/>
              </w:rPr>
              <w:t>$73K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F2933"/>
                <w:sz w:val="17"/>
              </w:rPr>
              <w:t>average starting salary*</w:t>
            </w:r>
          </w:p>
        </w:tc>
      </w:tr>
      <w:tr>
        <w:tc>
          <w:tcPr>
            <w:tcW w:type="dxa" w:w="3427"/>
            <w:shd w:fill="F4F6F8"/>
            <w:tcMar>
              <w:top w:w="105" w:type="dxa"/>
              <w:start w:w="100" w:type="dxa"/>
              <w:bottom w:w="95" w:type="dxa"/>
              <w:end w:w="100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009366"/>
                <w:sz w:val="38"/>
              </w:rPr>
              <w:t>95%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F2933"/>
                <w:sz w:val="17"/>
              </w:rPr>
              <w:t>placement within 6 months**</w:t>
            </w:r>
          </w:p>
        </w:tc>
        <w:tc>
          <w:tcPr>
            <w:tcW w:type="dxa" w:w="3427"/>
            <w:shd w:fill="F4F6F8"/>
            <w:tcMar>
              <w:top w:w="105" w:type="dxa"/>
              <w:start w:w="100" w:type="dxa"/>
              <w:bottom w:w="95" w:type="dxa"/>
              <w:end w:w="100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004785"/>
                <w:sz w:val="38"/>
              </w:rPr>
              <w:t>84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F2933"/>
                <w:sz w:val="17"/>
              </w:rPr>
              <w:t>for-credit CM internships last academic year</w:t>
            </w:r>
          </w:p>
        </w:tc>
        <w:tc>
          <w:tcPr>
            <w:tcW w:type="dxa" w:w="3427"/>
            <w:shd w:fill="F4F6F8"/>
            <w:tcMar>
              <w:top w:w="105" w:type="dxa"/>
              <w:start w:w="100" w:type="dxa"/>
              <w:bottom w:w="95" w:type="dxa"/>
              <w:end w:w="100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009366"/>
                <w:sz w:val="38"/>
              </w:rPr>
              <w:t>60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F2933"/>
                <w:sz w:val="17"/>
              </w:rPr>
              <w:t>industry guest lectures last academic year</w:t>
            </w:r>
          </w:p>
        </w:tc>
      </w:tr>
    </w:tbl>
    <w:p>
      <w:pPr>
        <w:spacing w:before="20" w:after="40"/>
      </w:pPr>
      <w:r>
        <w:rPr>
          <w:rFonts w:ascii="Arial" w:hAnsi="Arial"/>
          <w:i/>
          <w:color w:val="55626E"/>
          <w:sz w:val="15"/>
        </w:rPr>
        <w:t>*Self-reported by graduates in the AY 2025-26 senior exit survey.  **CM-related employment or graduate school within six months of graduation.</w:t>
      </w:r>
    </w:p>
    <w:p>
      <w:pPr>
        <w:keepNext/>
        <w:spacing w:before="80" w:after="20"/>
      </w:pPr>
      <w:r>
        <w:rPr>
          <w:rFonts w:ascii="Arial" w:hAnsi="Arial"/>
          <w:b/>
          <w:color w:val="004785"/>
          <w:sz w:val="32"/>
        </w:rPr>
        <w:t>Program growth</w:t>
      </w:r>
    </w:p>
    <w:p>
      <w:pPr>
        <w:spacing w:after="40"/>
      </w:pPr>
      <w:r>
        <w:rPr>
          <w:rFonts w:ascii="Arial" w:hAnsi="Arial"/>
          <w:color w:val="55626E"/>
          <w:sz w:val="18"/>
        </w:rPr>
        <w:t>Fall enrollment grew from 44 students in 2019 to 475 students in Fall 2026.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1860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rollment_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86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60"/>
      </w:pPr>
      <w:r>
        <w:rPr>
          <w:rFonts w:ascii="Arial" w:hAnsi="Arial"/>
          <w:b/>
          <w:color w:val="004785"/>
          <w:sz w:val="29"/>
        </w:rPr>
        <w:t>2026 student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570"/>
            <w:shd w:fill="EAF6F1"/>
            <w:tcMar>
              <w:top w:w="78" w:type="dxa"/>
              <w:start w:w="75" w:type="dxa"/>
              <w:bottom w:w="78" w:type="dxa"/>
              <w:end w:w="75" w:type="dxa"/>
            </w:tcMar>
            <w:tcBorders>
              <w:top w:val="single" w:sz="4" w:color="CFE4D9"/>
              <w:start w:val="single" w:sz="4" w:color="CFE4D9"/>
              <w:bottom w:val="single" w:sz="4" w:color="CFE4D9"/>
              <w:end w:val="single" w:sz="4" w:color="CFE4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9366"/>
                <w:sz w:val="22"/>
              </w:rPr>
              <w:t xml:space="preserve">88 </w:t>
            </w:r>
            <w:r>
              <w:rPr>
                <w:rFonts w:ascii="Arial" w:hAnsi="Arial"/>
                <w:color w:val="1F2933"/>
                <w:sz w:val="17"/>
              </w:rPr>
              <w:t>freshmen</w:t>
            </w:r>
          </w:p>
        </w:tc>
        <w:tc>
          <w:tcPr>
            <w:tcW w:type="dxa" w:w="2570"/>
            <w:shd w:fill="EAF6F1"/>
            <w:tcMar>
              <w:top w:w="78" w:type="dxa"/>
              <w:start w:w="75" w:type="dxa"/>
              <w:bottom w:w="78" w:type="dxa"/>
              <w:end w:w="75" w:type="dxa"/>
            </w:tcMar>
            <w:tcBorders>
              <w:top w:val="single" w:sz="4" w:color="CFE4D9"/>
              <w:start w:val="single" w:sz="4" w:color="CFE4D9"/>
              <w:bottom w:val="single" w:sz="4" w:color="CFE4D9"/>
              <w:end w:val="single" w:sz="4" w:color="CFE4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9366"/>
                <w:sz w:val="22"/>
              </w:rPr>
              <w:t xml:space="preserve">16% </w:t>
            </w:r>
            <w:r>
              <w:rPr>
                <w:rFonts w:ascii="Arial" w:hAnsi="Arial"/>
                <w:color w:val="1F2933"/>
                <w:sz w:val="17"/>
              </w:rPr>
              <w:t>women</w:t>
            </w:r>
          </w:p>
        </w:tc>
        <w:tc>
          <w:tcPr>
            <w:tcW w:type="dxa" w:w="2570"/>
            <w:shd w:fill="EAF6F1"/>
            <w:tcMar>
              <w:top w:w="78" w:type="dxa"/>
              <w:start w:w="75" w:type="dxa"/>
              <w:bottom w:w="78" w:type="dxa"/>
              <w:end w:w="75" w:type="dxa"/>
            </w:tcMar>
            <w:tcBorders>
              <w:top w:val="single" w:sz="4" w:color="CFE4D9"/>
              <w:start w:val="single" w:sz="4" w:color="CFE4D9"/>
              <w:bottom w:val="single" w:sz="4" w:color="CFE4D9"/>
              <w:end w:val="single" w:sz="4" w:color="CFE4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9366"/>
                <w:sz w:val="22"/>
              </w:rPr>
              <w:t xml:space="preserve">47% </w:t>
            </w:r>
            <w:r>
              <w:rPr>
                <w:rFonts w:ascii="Arial" w:hAnsi="Arial"/>
                <w:color w:val="1F2933"/>
                <w:sz w:val="17"/>
              </w:rPr>
              <w:t>minorities</w:t>
            </w:r>
          </w:p>
        </w:tc>
        <w:tc>
          <w:tcPr>
            <w:tcW w:type="dxa" w:w="2570"/>
            <w:shd w:fill="EAF6F1"/>
            <w:tcMar>
              <w:top w:w="78" w:type="dxa"/>
              <w:start w:w="75" w:type="dxa"/>
              <w:bottom w:w="78" w:type="dxa"/>
              <w:end w:w="75" w:type="dxa"/>
            </w:tcMar>
            <w:tcBorders>
              <w:top w:val="single" w:sz="4" w:color="CFE4D9"/>
              <w:start w:val="single" w:sz="4" w:color="CFE4D9"/>
              <w:bottom w:val="single" w:sz="4" w:color="CFE4D9"/>
              <w:end w:val="single" w:sz="4" w:color="CFE4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9366"/>
                <w:sz w:val="22"/>
              </w:rPr>
              <w:t xml:space="preserve">49% </w:t>
            </w:r>
            <w:r>
              <w:rPr>
                <w:rFonts w:ascii="Arial" w:hAnsi="Arial"/>
                <w:color w:val="1F2933"/>
                <w:sz w:val="17"/>
              </w:rPr>
              <w:t>from SWFL’s 5-county region</w:t>
            </w:r>
          </w:p>
        </w:tc>
      </w:tr>
    </w:tbl>
    <w:p>
      <w:pPr>
        <w:spacing w:before="8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440"/>
            <w:shd w:fill="EAF2F8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C7D9E8"/>
              <w:start w:val="nil"/>
              <w:bottom w:val="single" w:sz="4" w:color="C7D9E8"/>
              <w:end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4785"/>
                <w:sz w:val="36"/>
              </w:rPr>
              <w:t>97%</w:t>
            </w:r>
          </w:p>
        </w:tc>
        <w:tc>
          <w:tcPr>
            <w:tcW w:type="dxa" w:w="8856"/>
            <w:shd w:fill="EAF2F8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C7D9E8"/>
              <w:start w:val="nil"/>
              <w:bottom w:val="single" w:sz="4" w:color="C7D9E8"/>
              <w:end w:val="nil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3"/>
                <w:sz w:val="18"/>
              </w:rPr>
              <w:t xml:space="preserve">of internship employers rated CM student performance Outstanding or Very Good </w:t>
            </w:r>
            <w:r>
              <w:rPr>
                <w:rFonts w:ascii="Arial" w:hAnsi="Arial"/>
                <w:color w:val="55626E"/>
                <w:sz w:val="17"/>
              </w:rPr>
              <w:t>(71% Outstanding, 26% Very Good, 3% Average; AY 2025-26, n = 86).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color w:val="004785"/>
          <w:sz w:val="42"/>
        </w:rPr>
        <w:t>Industry partnership is built into the program</w:t>
      </w:r>
    </w:p>
    <w:p>
      <w:pPr>
        <w:spacing w:after="100"/>
      </w:pPr>
      <w:r>
        <w:rPr>
          <w:rFonts w:ascii="Arial" w:hAnsi="Arial"/>
          <w:color w:val="55626E"/>
          <w:sz w:val="20"/>
        </w:rPr>
        <w:t>Our 2026-2031 priorities emphasize career-ready students, meaningful industry engagement, and continuous improvement informed by practice.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403"/>
      </w:tblGrid>
      <w:tr>
        <w:tc>
          <w:tcPr>
            <w:tcW w:type="dxa" w:w="893"/>
            <w:shd w:fill="009366"/>
            <w:tcMar>
              <w:top w:w="115" w:type="dxa"/>
              <w:start w:w="75" w:type="dxa"/>
              <w:bottom w:w="115" w:type="dxa"/>
              <w:end w:w="75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1</w:t>
            </w:r>
          </w:p>
        </w:tc>
        <w:tc>
          <w:tcPr>
            <w:tcW w:type="dxa" w:w="9403"/>
            <w:shd w:fill="F4F6F8"/>
            <w:tcMar>
              <w:top w:w="85" w:type="dxa"/>
              <w:start w:w="125" w:type="dxa"/>
              <w:bottom w:w="75" w:type="dxa"/>
              <w:end w:w="125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009366"/>
                <w:sz w:val="23"/>
              </w:rPr>
              <w:t>Build the talent pipeline</w:t>
            </w:r>
          </w:p>
          <w:p>
            <w:pPr>
              <w:spacing w:before="0" w:after="30" w:line="245" w:lineRule="auto"/>
              <w:ind w:left="173" w:hanging="173"/>
            </w:pPr>
            <w:r>
              <w:rPr>
                <w:rFonts w:ascii="Arial" w:hAnsi="Arial"/>
                <w:b/>
                <w:color w:val="009366"/>
                <w:sz w:val="17"/>
              </w:rPr>
              <w:t xml:space="preserve">• </w:t>
            </w:r>
            <w:r>
              <w:rPr>
                <w:rFonts w:ascii="Arial" w:hAnsi="Arial"/>
                <w:color w:val="1F2933"/>
                <w:sz w:val="17"/>
              </w:rPr>
              <w:t>Strengthen internship placement coordination and tracking</w:t>
            </w:r>
          </w:p>
          <w:p>
            <w:pPr>
              <w:spacing w:before="0" w:after="30" w:line="245" w:lineRule="auto"/>
              <w:ind w:left="173" w:hanging="173"/>
            </w:pPr>
            <w:r>
              <w:rPr>
                <w:rFonts w:ascii="Arial" w:hAnsi="Arial"/>
                <w:b/>
                <w:color w:val="009366"/>
                <w:sz w:val="17"/>
              </w:rPr>
              <w:t xml:space="preserve">• </w:t>
            </w:r>
            <w:r>
              <w:rPr>
                <w:rFonts w:ascii="Arial" w:hAnsi="Arial"/>
                <w:color w:val="1F2933"/>
                <w:sz w:val="17"/>
              </w:rPr>
              <w:t>Connect employers with students through resume reviews, mock interviews, and employer panels</w:t>
            </w:r>
          </w:p>
          <w:p>
            <w:pPr>
              <w:spacing w:before="0" w:after="30" w:line="245" w:lineRule="auto"/>
              <w:ind w:left="173" w:hanging="173"/>
            </w:pPr>
            <w:r>
              <w:rPr>
                <w:rFonts w:ascii="Arial" w:hAnsi="Arial"/>
                <w:b/>
                <w:color w:val="009366"/>
                <w:sz w:val="17"/>
              </w:rPr>
              <w:t xml:space="preserve">• </w:t>
            </w:r>
            <w:r>
              <w:rPr>
                <w:rFonts w:ascii="Arial" w:hAnsi="Arial"/>
                <w:color w:val="1F2933"/>
                <w:sz w:val="17"/>
              </w:rPr>
              <w:t>Expand student participation in ASC, ABC, and other industry competitions</w:t>
            </w:r>
          </w:p>
          <w:p>
            <w:pPr>
              <w:spacing w:before="0" w:after="30" w:line="245" w:lineRule="auto"/>
              <w:ind w:left="173" w:hanging="173"/>
            </w:pPr>
            <w:r>
              <w:rPr>
                <w:rFonts w:ascii="Arial" w:hAnsi="Arial"/>
                <w:b/>
                <w:color w:val="009366"/>
                <w:sz w:val="17"/>
              </w:rPr>
              <w:t xml:space="preserve">• </w:t>
            </w:r>
            <w:r>
              <w:rPr>
                <w:rFonts w:ascii="Arial" w:hAnsi="Arial"/>
                <w:color w:val="1F2933"/>
                <w:sz w:val="17"/>
              </w:rPr>
              <w:t>Increase faculty-mentored undergraduate research and applied learning opportunities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403"/>
      </w:tblGrid>
      <w:tr>
        <w:tc>
          <w:tcPr>
            <w:tcW w:type="dxa" w:w="893"/>
            <w:shd w:fill="004785"/>
            <w:tcMar>
              <w:top w:w="115" w:type="dxa"/>
              <w:start w:w="75" w:type="dxa"/>
              <w:bottom w:w="115" w:type="dxa"/>
              <w:end w:w="75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2</w:t>
            </w:r>
          </w:p>
        </w:tc>
        <w:tc>
          <w:tcPr>
            <w:tcW w:type="dxa" w:w="9403"/>
            <w:shd w:fill="F4F6F8"/>
            <w:tcMar>
              <w:top w:w="85" w:type="dxa"/>
              <w:start w:w="125" w:type="dxa"/>
              <w:bottom w:w="75" w:type="dxa"/>
              <w:end w:w="125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004785"/>
                <w:sz w:val="23"/>
              </w:rPr>
              <w:t>Bring industry into student learning</w:t>
            </w:r>
          </w:p>
          <w:p>
            <w:pPr>
              <w:spacing w:before="0" w:after="30" w:line="245" w:lineRule="auto"/>
              <w:ind w:left="173" w:hanging="173"/>
            </w:pPr>
            <w:r>
              <w:rPr>
                <w:rFonts w:ascii="Arial" w:hAnsi="Arial"/>
                <w:b/>
                <w:color w:val="009366"/>
                <w:sz w:val="17"/>
              </w:rPr>
              <w:t xml:space="preserve">• </w:t>
            </w:r>
            <w:r>
              <w:rPr>
                <w:rFonts w:ascii="Arial" w:hAnsi="Arial"/>
                <w:color w:val="1F2933"/>
                <w:sz w:val="17"/>
              </w:rPr>
              <w:t>Offer structured guest lectures and practitioner panels</w:t>
            </w:r>
          </w:p>
          <w:p>
            <w:pPr>
              <w:spacing w:before="0" w:after="30" w:line="245" w:lineRule="auto"/>
              <w:ind w:left="173" w:hanging="173"/>
            </w:pPr>
            <w:r>
              <w:rPr>
                <w:rFonts w:ascii="Arial" w:hAnsi="Arial"/>
                <w:b/>
                <w:color w:val="009366"/>
                <w:sz w:val="17"/>
              </w:rPr>
              <w:t xml:space="preserve">• </w:t>
            </w:r>
            <w:r>
              <w:rPr>
                <w:rFonts w:ascii="Arial" w:hAnsi="Arial"/>
                <w:color w:val="1F2933"/>
                <w:sz w:val="17"/>
              </w:rPr>
              <w:t>Host jobsite tours, trade demonstrations, and equipment showcases</w:t>
            </w:r>
          </w:p>
          <w:p>
            <w:pPr>
              <w:spacing w:before="0" w:after="30" w:line="245" w:lineRule="auto"/>
              <w:ind w:left="173" w:hanging="173"/>
            </w:pPr>
            <w:r>
              <w:rPr>
                <w:rFonts w:ascii="Arial" w:hAnsi="Arial"/>
                <w:b/>
                <w:color w:val="009366"/>
                <w:sz w:val="17"/>
              </w:rPr>
              <w:t xml:space="preserve">• </w:t>
            </w:r>
            <w:r>
              <w:rPr>
                <w:rFonts w:ascii="Arial" w:hAnsi="Arial"/>
                <w:color w:val="1F2933"/>
                <w:sz w:val="17"/>
              </w:rPr>
              <w:t>Engage with student organizations and competition teams</w:t>
            </w:r>
          </w:p>
          <w:p>
            <w:pPr>
              <w:spacing w:before="0" w:after="30" w:line="245" w:lineRule="auto"/>
              <w:ind w:left="173" w:hanging="173"/>
            </w:pPr>
            <w:r>
              <w:rPr>
                <w:rFonts w:ascii="Arial" w:hAnsi="Arial"/>
                <w:b/>
                <w:color w:val="009366"/>
                <w:sz w:val="17"/>
              </w:rPr>
              <w:t xml:space="preserve">• </w:t>
            </w:r>
            <w:r>
              <w:rPr>
                <w:rFonts w:ascii="Arial" w:hAnsi="Arial"/>
                <w:color w:val="1F2933"/>
                <w:sz w:val="17"/>
              </w:rPr>
              <w:t>Participate in advisory activities that help keep curriculum aligned with practice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403"/>
      </w:tblGrid>
      <w:tr>
        <w:tc>
          <w:tcPr>
            <w:tcW w:type="dxa" w:w="893"/>
            <w:shd w:fill="009366"/>
            <w:tcMar>
              <w:top w:w="115" w:type="dxa"/>
              <w:start w:w="75" w:type="dxa"/>
              <w:bottom w:w="115" w:type="dxa"/>
              <w:end w:w="75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3</w:t>
            </w:r>
          </w:p>
        </w:tc>
        <w:tc>
          <w:tcPr>
            <w:tcW w:type="dxa" w:w="9403"/>
            <w:shd w:fill="F4F6F8"/>
            <w:tcMar>
              <w:top w:w="85" w:type="dxa"/>
              <w:start w:w="125" w:type="dxa"/>
              <w:bottom w:w="75" w:type="dxa"/>
              <w:end w:w="125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009366"/>
                <w:sz w:val="23"/>
              </w:rPr>
              <w:t>Collaborate with faculty and the program</w:t>
            </w:r>
          </w:p>
          <w:p>
            <w:pPr>
              <w:spacing w:before="0" w:after="30" w:line="245" w:lineRule="auto"/>
              <w:ind w:left="173" w:hanging="173"/>
            </w:pPr>
            <w:r>
              <w:rPr>
                <w:rFonts w:ascii="Arial" w:hAnsi="Arial"/>
                <w:b/>
                <w:color w:val="009366"/>
                <w:sz w:val="17"/>
              </w:rPr>
              <w:t xml:space="preserve">• </w:t>
            </w:r>
            <w:r>
              <w:rPr>
                <w:rFonts w:ascii="Arial" w:hAnsi="Arial"/>
                <w:color w:val="1F2933"/>
                <w:sz w:val="17"/>
              </w:rPr>
              <w:t>Host a Faculty Summer Industry Residency</w:t>
            </w:r>
          </w:p>
          <w:p>
            <w:pPr>
              <w:spacing w:before="0" w:after="30" w:line="245" w:lineRule="auto"/>
              <w:ind w:left="173" w:hanging="173"/>
            </w:pPr>
            <w:r>
              <w:rPr>
                <w:rFonts w:ascii="Arial" w:hAnsi="Arial"/>
                <w:b/>
                <w:color w:val="009366"/>
                <w:sz w:val="17"/>
              </w:rPr>
              <w:t xml:space="preserve">• </w:t>
            </w:r>
            <w:r>
              <w:rPr>
                <w:rFonts w:ascii="Arial" w:hAnsi="Arial"/>
                <w:color w:val="1F2933"/>
                <w:sz w:val="17"/>
              </w:rPr>
              <w:t>Collaborate on applied research aligned with industry needs</w:t>
            </w:r>
          </w:p>
          <w:p>
            <w:pPr>
              <w:spacing w:before="0" w:after="30" w:line="245" w:lineRule="auto"/>
              <w:ind w:left="173" w:hanging="173"/>
            </w:pPr>
            <w:r>
              <w:rPr>
                <w:rFonts w:ascii="Arial" w:hAnsi="Arial"/>
                <w:b/>
                <w:color w:val="009366"/>
                <w:sz w:val="17"/>
              </w:rPr>
              <w:t xml:space="preserve">• </w:t>
            </w:r>
            <w:r>
              <w:rPr>
                <w:rFonts w:ascii="Arial" w:hAnsi="Arial"/>
                <w:color w:val="1F2933"/>
                <w:sz w:val="17"/>
              </w:rPr>
              <w:t>Support faculty exposure to emerging technology and current practice</w:t>
            </w:r>
          </w:p>
          <w:p>
            <w:pPr>
              <w:spacing w:before="0" w:after="30" w:line="245" w:lineRule="auto"/>
              <w:ind w:left="173" w:hanging="173"/>
            </w:pPr>
            <w:r>
              <w:rPr>
                <w:rFonts w:ascii="Arial" w:hAnsi="Arial"/>
                <w:b/>
                <w:color w:val="009366"/>
                <w:sz w:val="17"/>
              </w:rPr>
              <w:t xml:space="preserve">• </w:t>
            </w:r>
            <w:r>
              <w:rPr>
                <w:rFonts w:ascii="Arial" w:hAnsi="Arial"/>
                <w:color w:val="1F2933"/>
                <w:sz w:val="17"/>
              </w:rPr>
              <w:t>Help inform continuous curriculum improvement</w:t>
            </w:r>
          </w:p>
        </w:tc>
      </w:tr>
    </w:tbl>
    <w:p>
      <w:pPr>
        <w:spacing w:after="40" w:before="0"/>
      </w:pPr>
    </w:p>
    <w:p>
      <w:pPr>
        <w:keepNext/>
        <w:spacing w:before="40" w:after="80"/>
      </w:pPr>
      <w:r>
        <w:rPr>
          <w:rFonts w:ascii="Arial" w:hAnsi="Arial"/>
          <w:b/>
          <w:color w:val="004785"/>
          <w:sz w:val="32"/>
        </w:rPr>
        <w:t>Ways your company can engage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148"/>
            <w:shd w:fill="FFFFFF"/>
            <w:tcMar>
              <w:top w:w="80" w:type="dxa"/>
              <w:start w:w="105" w:type="dxa"/>
              <w:bottom w:w="65" w:type="dxa"/>
              <w:end w:w="105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004785"/>
                <w:sz w:val="19"/>
              </w:rPr>
              <w:t>Build your talent pipeline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Host for-credit CM internships and connect with students as they prepare for full-time employment.</w:t>
            </w:r>
          </w:p>
        </w:tc>
        <w:tc>
          <w:tcPr>
            <w:tcW w:type="dxa" w:w="5148"/>
            <w:shd w:fill="FFFFFF"/>
            <w:tcMar>
              <w:top w:w="80" w:type="dxa"/>
              <w:start w:w="105" w:type="dxa"/>
              <w:bottom w:w="65" w:type="dxa"/>
              <w:end w:w="105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009366"/>
                <w:sz w:val="19"/>
              </w:rPr>
              <w:t>Bring your expertise into learning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Offer a guest lecture, trade demonstration, equipment showcase, practitioner panel, or site tour.</w:t>
            </w:r>
          </w:p>
        </w:tc>
      </w:tr>
      <w:tr>
        <w:tc>
          <w:tcPr>
            <w:tcW w:type="dxa" w:w="5148"/>
            <w:shd w:fill="FFFFFF"/>
            <w:tcMar>
              <w:top w:w="80" w:type="dxa"/>
              <w:start w:w="105" w:type="dxa"/>
              <w:bottom w:w="65" w:type="dxa"/>
              <w:end w:w="105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004785"/>
                <w:sz w:val="19"/>
              </w:rPr>
              <w:t>Support career readiness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Join resume reviews, mock interviews, employer panels, or recruiting conversations.</w:t>
            </w:r>
          </w:p>
        </w:tc>
        <w:tc>
          <w:tcPr>
            <w:tcW w:type="dxa" w:w="5148"/>
            <w:shd w:fill="FFFFFF"/>
            <w:tcMar>
              <w:top w:w="80" w:type="dxa"/>
              <w:start w:w="105" w:type="dxa"/>
              <w:bottom w:w="65" w:type="dxa"/>
              <w:end w:w="105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009366"/>
                <w:sz w:val="19"/>
              </w:rPr>
              <w:t>Engage student organizations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Connect with the ABC Student Chapter, Women in Construction Club, and competition teams.</w:t>
            </w:r>
          </w:p>
        </w:tc>
      </w:tr>
      <w:tr>
        <w:tc>
          <w:tcPr>
            <w:tcW w:type="dxa" w:w="5148"/>
            <w:shd w:fill="FFFFFF"/>
            <w:tcMar>
              <w:top w:w="80" w:type="dxa"/>
              <w:start w:w="105" w:type="dxa"/>
              <w:bottom w:w="65" w:type="dxa"/>
              <w:end w:w="105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004785"/>
                <w:sz w:val="19"/>
              </w:rPr>
              <w:t>Partner with faculty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Host a Faculty Summer Industry Residency or collaborate on applied research tied to industry needs.</w:t>
            </w:r>
          </w:p>
        </w:tc>
        <w:tc>
          <w:tcPr>
            <w:tcW w:type="dxa" w:w="5148"/>
            <w:shd w:fill="FFFFFF"/>
            <w:tcMar>
              <w:top w:w="80" w:type="dxa"/>
              <w:start w:w="105" w:type="dxa"/>
              <w:bottom w:w="65" w:type="dxa"/>
              <w:end w:w="105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/>
                <w:b/>
                <w:color w:val="009366"/>
                <w:sz w:val="19"/>
              </w:rPr>
              <w:t>Invest in student success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Support scholarships or sponsored student competition teams; $21,000 in department scholarships was awarded in AY 2025-26.</w:t>
            </w:r>
          </w:p>
        </w:tc>
      </w:tr>
    </w:tbl>
    <w:p>
      <w:pPr>
        <w:keepNext/>
        <w:spacing w:before="100" w:after="60"/>
      </w:pPr>
      <w:r>
        <w:rPr>
          <w:rFonts w:ascii="Arial" w:hAnsi="Arial"/>
          <w:b/>
          <w:color w:val="004785"/>
          <w:sz w:val="30"/>
        </w:rPr>
        <w:t>Workforce learning beyond the BSCM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27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55626E"/>
                <w:sz w:val="17"/>
              </w:rPr>
              <w:t>Certificate program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1F2933"/>
                <w:sz w:val="18"/>
              </w:rPr>
              <w:t>Introduction to Construction Management</w:t>
            </w:r>
          </w:p>
        </w:tc>
        <w:tc>
          <w:tcPr>
            <w:tcW w:type="dxa" w:w="3427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55626E"/>
                <w:sz w:val="17"/>
              </w:rPr>
              <w:t>Certificate program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1F2933"/>
                <w:sz w:val="18"/>
              </w:rPr>
              <w:t>Essentials of Construction Blueprint Reading</w:t>
            </w:r>
          </w:p>
        </w:tc>
        <w:tc>
          <w:tcPr>
            <w:tcW w:type="dxa" w:w="3427"/>
            <w:shd w:fill="EAF6F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E0E5"/>
              <w:start w:val="single" w:sz="4" w:color="D9E0E5"/>
              <w:bottom w:val="single" w:sz="4" w:color="D9E0E5"/>
              <w:end w:val="single" w:sz="4" w:color="D9E0E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55626E"/>
                <w:sz w:val="17"/>
              </w:rPr>
              <w:t>Graduate study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1F2933"/>
                <w:sz w:val="18"/>
              </w:rPr>
              <w:t>M.S. in Civil Engineering with a Construction Management concentration</w:t>
            </w:r>
          </w:p>
        </w:tc>
      </w:tr>
    </w:tbl>
    <w:p>
      <w:pPr>
        <w:spacing w:before="120" w:after="0"/>
        <w:jc w:val="center"/>
      </w:pPr>
      <w:r>
        <w:rPr>
          <w:rFonts w:ascii="Arial" w:hAnsi="Arial"/>
          <w:b/>
          <w:color w:val="004785"/>
          <w:sz w:val="18"/>
        </w:rPr>
        <w:t>Industry partnership conversation: How could your company connect with FGCU students this year - through internships, recruiting, guest lectures, site tours, student organizations, or faculty collaboration?</w:t>
      </w:r>
    </w:p>
    <w:p>
      <w:pPr>
        <w:spacing w:before="80" w:after="0"/>
        <w:jc w:val="center"/>
      </w:pPr>
      <w:r>
        <w:rPr>
          <w:rFonts w:ascii="Arial" w:hAnsi="Arial"/>
          <w:i/>
          <w:color w:val="55626E"/>
          <w:sz w:val="15"/>
        </w:rPr>
        <w:t>Data reflect AY 2025-26 and Fall 2026 enrollment figures, unless otherwise noted.</w:t>
      </w:r>
    </w:p>
    <w:sectPr w:rsidR="00FC693F" w:rsidRPr="0006063C" w:rsidSect="00034616">
      <w:pgSz w:w="12240" w:h="15840"/>
      <w:pgMar w:top="720" w:right="893" w:bottom="720" w:left="89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