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Arial" w:hAnsi="Arial"/>
          <w:b/>
          <w:sz w:val="44"/>
        </w:rPr>
        <w:t>INSURANCE CLAIMS &amp; FRAUD ANALYSIS</w:t>
      </w:r>
    </w:p>
    <w:p>
      <w:pPr>
        <w:jc w:val="center"/>
      </w:pPr>
      <w:r>
        <w:rPr>
          <w:sz w:val="32"/>
        </w:rPr>
        <w:t>Power BI Project Report</w:t>
      </w:r>
    </w:p>
    <w:p>
      <w:pPr>
        <w:spacing w:before="600"/>
        <w:jc w:val="center"/>
      </w:pPr>
      <w:r>
        <w:rPr>
          <w:b/>
        </w:rPr>
        <w:t>Prepared by: Prajakta Bhondave</w:t>
      </w:r>
    </w:p>
    <w:p>
      <w:pPr>
        <w:jc w:val="center"/>
      </w:pPr>
      <w:r>
        <w:t>Tools: Microsoft Power BI | Power Query | DAX</w:t>
      </w:r>
    </w:p>
    <w:p>
      <w:r>
        <w:br w:type="page"/>
      </w:r>
    </w:p>
    <w:p>
      <w:pPr>
        <w:pStyle w:val="Heading1"/>
      </w:pPr>
      <w:r>
        <w:t>1. Executive Summary</w:t>
      </w:r>
    </w:p>
    <w:p>
      <w:r>
        <w:t>This project presents an interactive Power BI dashboard for exploring insurance claims, financial performance, and reported fraud patterns. The dataset contains 1,000 records and 40 attributes covering customer demographics, policy details, incident characteristics, claim amounts, vehicle information, and the fraud indicator. The dashboard is designed to help users examine claim volume and cost, compare policy segments, and identify patterns that may warrant further investigation. The report describes the implemented analysis without assuming results that must be verified from the final dashboard.</w:t>
      </w:r>
    </w:p>
    <w:p>
      <w:pPr>
        <w:pStyle w:val="Heading1"/>
      </w:pPr>
      <w:r>
        <w:t>2. Business Problem</w:t>
      </w:r>
    </w:p>
    <w:p>
      <w:r>
        <w:t>Insurance teams need a clear way to monitor claim volume and financial exposure while reviewing reported fraudulent claims. Data spread across policy, incident, customer, and vehicle attributes can make comparisons difficult. An interactive dashboard helps consolidate these views and allows stakeholders to filter the information and investigate relevant segments.</w:t>
      </w:r>
    </w:p>
    <w:p>
      <w:pPr>
        <w:pStyle w:val="Heading1"/>
      </w:pPr>
      <w:r>
        <w:t>3. Project Objectives</w:t>
      </w:r>
    </w:p>
    <w:p>
      <w:pPr>
        <w:pStyle w:val="ListBullet"/>
      </w:pPr>
      <w:r>
        <w:t>Summarize claim volume and claim value using key performance indicators (KPIs).</w:t>
      </w:r>
    </w:p>
    <w:p>
      <w:pPr>
        <w:pStyle w:val="ListBullet"/>
      </w:pPr>
      <w:r>
        <w:t>Compare claim counts and claim amounts across policy segments.</w:t>
      </w:r>
    </w:p>
    <w:p>
      <w:pPr>
        <w:pStyle w:val="ListBullet"/>
      </w:pPr>
      <w:r>
        <w:t>Explore January and February claim trends using incident-date fields.</w:t>
      </w:r>
    </w:p>
    <w:p>
      <w:pPr>
        <w:pStyle w:val="ListBullet"/>
      </w:pPr>
      <w:r>
        <w:t>Compare reported fraudulent and non-fraudulent claims.</w:t>
      </w:r>
    </w:p>
    <w:p>
      <w:pPr>
        <w:pStyle w:val="ListBullet"/>
      </w:pPr>
      <w:r>
        <w:t>Explore fraud rates across policy states, incident types, and incident severity.</w:t>
      </w:r>
    </w:p>
    <w:p>
      <w:pPr>
        <w:pStyle w:val="ListBullet"/>
      </w:pPr>
      <w:r>
        <w:t>Review claim patterns by customer demographics and vehicle characteristics.</w:t>
      </w:r>
    </w:p>
    <w:p>
      <w:pPr>
        <w:pStyle w:val="ListBullet"/>
      </w:pPr>
      <w:r>
        <w:t>Provide slicers and page navigation for interactive exploration.</w:t>
      </w:r>
    </w:p>
    <w:p>
      <w:pPr>
        <w:pStyle w:val="Heading1"/>
      </w:pPr>
      <w:r>
        <w:t>4. Dataset Overview</w:t>
      </w:r>
    </w:p>
    <w:p>
      <w:r>
        <w:t>The dataset contains 1,000 claim records and 40 attributes. Fields include customer age and gender; policy state, coverage limits, deductible, and annual premium; incident date, type, severity, and location; total, injury, property, and vehicle claim amounts; vehicle make, model, and year; and the fraud indicator. In the supplied data, missing or unavailable values may be represented by '?'. The fraud field uses Y/N values in the data described for this project.</w:t>
      </w:r>
    </w:p>
    <w:p>
      <w:r>
        <w:t>Data-sharing note: only publish the source dataset if its license, assessment instructions, and privacy requirements permit redistribution.</w:t>
      </w:r>
    </w:p>
    <w:p>
      <w:pPr>
        <w:pStyle w:val="Heading1"/>
      </w:pPr>
      <w:r>
        <w:t>5. Tools and Technologies</w:t>
      </w:r>
    </w:p>
    <w:p>
      <w:pPr>
        <w:pStyle w:val="ListBullet"/>
      </w:pPr>
      <w:r>
        <w:t>Microsoft Power BI Desktop — report development and interactive visuals.</w:t>
      </w:r>
    </w:p>
    <w:p>
      <w:pPr>
        <w:pStyle w:val="ListBullet"/>
      </w:pPr>
      <w:r>
        <w:t>Power Query — data cleaning, transformation, and data-type preparation.</w:t>
      </w:r>
    </w:p>
    <w:p>
      <w:pPr>
        <w:pStyle w:val="ListBullet"/>
      </w:pPr>
      <w:r>
        <w:t>DAX — measures and calculated columns for KPI and segment analysis.</w:t>
      </w:r>
    </w:p>
    <w:p>
      <w:pPr>
        <w:pStyle w:val="Heading1"/>
      </w:pPr>
      <w:r>
        <w:t>6. Data Preparation</w:t>
      </w:r>
    </w:p>
    <w:p>
      <w:pPr>
        <w:pStyle w:val="ListBullet"/>
      </w:pPr>
      <w:r>
        <w:t>Reviewed column names, data structure, and values.</w:t>
      </w:r>
    </w:p>
    <w:p>
      <w:pPr>
        <w:pStyle w:val="ListBullet"/>
      </w:pPr>
      <w:r>
        <w:t>Replaced the '?' placeholder with null where appropriate and checked missing values.</w:t>
      </w:r>
    </w:p>
    <w:p>
      <w:pPr>
        <w:pStyle w:val="ListBullet"/>
      </w:pPr>
      <w:r>
        <w:t>Set numeric measures such as claim amounts and premiums to suitable numeric types.</w:t>
      </w:r>
    </w:p>
    <w:p>
      <w:pPr>
        <w:pStyle w:val="ListBullet"/>
      </w:pPr>
      <w:r>
        <w:t>Kept identifier-like fields such as policy number and ZIP code as text where appropriate.</w:t>
      </w:r>
    </w:p>
    <w:p>
      <w:pPr>
        <w:pStyle w:val="ListBullet"/>
      </w:pPr>
      <w:r>
        <w:t>Prepared incident-month labels and a numeric sort field to display January before February.</w:t>
      </w:r>
    </w:p>
    <w:p>
      <w:pPr>
        <w:pStyle w:val="ListBullet"/>
      </w:pPr>
      <w:r>
        <w:t>Created an age-group column to support demographic comparisons.</w:t>
      </w:r>
    </w:p>
    <w:p>
      <w:pPr>
        <w:pStyle w:val="ListBullet"/>
      </w:pPr>
      <w:r>
        <w:t>Reviewed date parsing carefully; confirm that incident and policy dates are valid date values before relying on date-based analysis.</w:t>
      </w:r>
    </w:p>
    <w:p>
      <w:pPr>
        <w:pStyle w:val="Heading1"/>
      </w:pPr>
      <w:r>
        <w:t>7. KPI Definitions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Purpose</w:t>
            </w:r>
          </w:p>
        </w:tc>
      </w:tr>
      <w:tr>
        <w:tc>
          <w:tcPr>
            <w:tcW w:type="dxa" w:w="3312"/>
          </w:tcPr>
          <w:p>
            <w:r>
              <w:t>Total Claims</w:t>
            </w:r>
          </w:p>
        </w:tc>
        <w:tc>
          <w:tcPr>
            <w:tcW w:type="dxa" w:w="3312"/>
          </w:tcPr>
          <w:p>
            <w:r>
              <w:t>Count of claim records.</w:t>
            </w:r>
          </w:p>
        </w:tc>
        <w:tc>
          <w:tcPr>
            <w:tcW w:type="dxa" w:w="3312"/>
          </w:tcPr>
          <w:p>
            <w:r>
              <w:t>Shows the overall claim volume.</w:t>
            </w:r>
          </w:p>
        </w:tc>
      </w:tr>
      <w:tr>
        <w:tc>
          <w:tcPr>
            <w:tcW w:type="dxa" w:w="3312"/>
          </w:tcPr>
          <w:p>
            <w:r>
              <w:t>Total Claim Amount</w:t>
            </w:r>
          </w:p>
        </w:tc>
        <w:tc>
          <w:tcPr>
            <w:tcW w:type="dxa" w:w="3312"/>
          </w:tcPr>
          <w:p>
            <w:r>
              <w:t>Sum of total_claim_amount.</w:t>
            </w:r>
          </w:p>
        </w:tc>
        <w:tc>
          <w:tcPr>
            <w:tcW w:type="dxa" w:w="3312"/>
          </w:tcPr>
          <w:p>
            <w:r>
              <w:t>Summarizes total financial exposure represented in the data.</w:t>
            </w:r>
          </w:p>
        </w:tc>
      </w:tr>
      <w:tr>
        <w:tc>
          <w:tcPr>
            <w:tcW w:type="dxa" w:w="3312"/>
          </w:tcPr>
          <w:p>
            <w:r>
              <w:t>Average Claim Amount</w:t>
            </w:r>
          </w:p>
        </w:tc>
        <w:tc>
          <w:tcPr>
            <w:tcW w:type="dxa" w:w="3312"/>
          </w:tcPr>
          <w:p>
            <w:r>
              <w:t>Average of total_claim_amount.</w:t>
            </w:r>
          </w:p>
        </w:tc>
        <w:tc>
          <w:tcPr>
            <w:tcW w:type="dxa" w:w="3312"/>
          </w:tcPr>
          <w:p>
            <w:r>
              <w:t>Shows average claim value.</w:t>
            </w:r>
          </w:p>
        </w:tc>
      </w:tr>
      <w:tr>
        <w:tc>
          <w:tcPr>
            <w:tcW w:type="dxa" w:w="3312"/>
          </w:tcPr>
          <w:p>
            <w:r>
              <w:t>Fraud Rate</w:t>
            </w:r>
          </w:p>
        </w:tc>
        <w:tc>
          <w:tcPr>
            <w:tcW w:type="dxa" w:w="3312"/>
          </w:tcPr>
          <w:p>
            <w:r>
              <w:t>Fraudulent claim records divided by all claim records.</w:t>
            </w:r>
          </w:p>
        </w:tc>
        <w:tc>
          <w:tcPr>
            <w:tcW w:type="dxa" w:w="3312"/>
          </w:tcPr>
          <w:p>
            <w:r>
              <w:t>Shows the share of records marked fraudulent.</w:t>
            </w:r>
          </w:p>
        </w:tc>
      </w:tr>
    </w:tbl>
    <w:p>
      <w:pPr>
        <w:pStyle w:val="Heading1"/>
      </w:pPr>
      <w:r>
        <w:t>8. Dashboard Design and Pages</w:t>
      </w:r>
    </w:p>
    <w:p>
      <w:pPr>
        <w:pStyle w:val="Heading2"/>
      </w:pPr>
      <w:r>
        <w:t>Page 1: Overview</w:t>
      </w:r>
    </w:p>
    <w:p>
      <w:r>
        <w:t>The Overview page presents headline KPIs and monthly claim trends. It provides a starting point for reviewing claim volume and claim value across January and February.</w:t>
      </w:r>
    </w:p>
    <w:p>
      <w:pPr>
        <w:pStyle w:val="Heading2"/>
      </w:pPr>
      <w:r>
        <w:t>Page 2: Policy and Financial Analysis</w:t>
      </w:r>
    </w:p>
    <w:p>
      <w:r>
        <w:t>This page compares claim amounts and counts by policy state and policy coverage level (policy_csl), and uses a summary table to compare total claims, total claim amount, average claim amount, and fraud rate across policy segments. High claim cost or high fraud rate should be treated as a signal for further review, not proof of wrongdoing.</w:t>
      </w:r>
    </w:p>
    <w:p>
      <w:pPr>
        <w:pStyle w:val="Heading2"/>
      </w:pPr>
      <w:r>
        <w:t>Page 3: Fraud, Customer, and Vehicle Analysis</w:t>
      </w:r>
    </w:p>
    <w:p>
      <w:r>
        <w:t>This page explores the distribution of reported fraudulent and non-fraudulent claims, fraud rates across policy states, incident types and severity, and claim patterns by age group, gender, and vehicle make. These comparisons help identify segments for additional analysis.</w:t>
      </w:r>
    </w:p>
    <w:p>
      <w:pPr>
        <w:pStyle w:val="Heading1"/>
      </w:pPr>
      <w:r>
        <w:t>9. Interactivity</w:t>
      </w:r>
    </w:p>
    <w:p>
      <w:r>
        <w:t>Slicers for incident month, insured gender, policy state, and fraud status allow users to filter the report. Cross-filtering lets related visuals respond to selections. Sidebar buttons provide navigation between the three report pages.</w:t>
      </w:r>
    </w:p>
    <w:p>
      <w:pPr>
        <w:pStyle w:val="Heading1"/>
      </w:pPr>
      <w:r>
        <w:t>10. Business Questions Supported</w:t>
      </w:r>
    </w:p>
    <w:p>
      <w:pPr>
        <w:pStyle w:val="ListBullet"/>
      </w:pPr>
      <w:r>
        <w:t>How many claim records are present, and what is their total and average value?</w:t>
      </w:r>
    </w:p>
    <w:p>
      <w:pPr>
        <w:pStyle w:val="ListBullet"/>
      </w:pPr>
      <w:r>
        <w:t>How do claim counts and amounts compare between January and February?</w:t>
      </w:r>
    </w:p>
    <w:p>
      <w:pPr>
        <w:pStyle w:val="ListBullet"/>
      </w:pPr>
      <w:r>
        <w:t>Which policy segments account for larger claim totals or average claim values?</w:t>
      </w:r>
    </w:p>
    <w:p>
      <w:pPr>
        <w:pStyle w:val="ListBullet"/>
      </w:pPr>
      <w:r>
        <w:t>How are records marked fraudulent distributed across policy and incident segments?</w:t>
      </w:r>
    </w:p>
    <w:p>
      <w:pPr>
        <w:pStyle w:val="ListBullet"/>
      </w:pPr>
      <w:r>
        <w:t>How do claim patterns vary by customer age group, gender, and vehicle make?</w:t>
      </w:r>
    </w:p>
    <w:p>
      <w:pPr>
        <w:pStyle w:val="ListBullet"/>
      </w:pPr>
      <w:r>
        <w:t>Which segments should be examined more closely using additional evidence?</w:t>
      </w:r>
    </w:p>
    <w:p>
      <w:pPr>
        <w:pStyle w:val="Heading1"/>
      </w:pPr>
      <w:r>
        <w:t>11. Findings and Business Insights</w:t>
      </w:r>
    </w:p>
    <w:p>
      <w:pPr>
        <w:pStyle w:val="Heading2"/>
      </w:pPr>
      <w:r>
        <w:t>1. Overall Claim Performance</w:t>
      </w:r>
    </w:p>
    <w:p>
      <w:pPr/>
      <w:r>
        <w:t>The Overview page reports 1,000 claims, a total claim amount of approximately ₹53 million, and an average claim amount of ₹52.76K. These KPIs provide a high-level view of claim volume and financial exposure.</w:t>
      </w:r>
    </w:p>
    <w:p>
      <w:pPr>
        <w:pStyle w:val="Heading2"/>
      </w:pPr>
      <w:r>
        <w:t>2. Fraud Pattern</w:t>
      </w:r>
    </w:p>
    <w:p>
      <w:pPr/>
      <w:r>
        <w:t>The Overview page reports 247 fraudulent claims and a fraud rate of 24.70%. This indicates that nearly one-quarter of the records are labelled fraudulent in the dataset and supports the need for careful claim review.</w:t>
      </w:r>
    </w:p>
    <w:p>
      <w:pPr>
        <w:pStyle w:val="Heading2"/>
      </w:pPr>
      <w:r>
        <w:t>3. Incident Severity</w:t>
      </w:r>
    </w:p>
    <w:p>
      <w:pPr/>
      <w:r>
        <w:t>In the Fraud &amp; Claims page, the incident-severity matrix shows the highest displayed fraud rate for Major Damage at 59.15%, compared with 8.95% for Minor Damage, 12.82% for Total Loss, and 10% for Trivial Damage. Major Damage is therefore a useful segment for closer review, but this pattern alone does not prove fraud.</w:t>
      </w:r>
    </w:p>
    <w:p>
      <w:pPr>
        <w:pStyle w:val="Heading2"/>
      </w:pPr>
      <w:r>
        <w:t>4. Customer Age Groups</w:t>
      </w:r>
    </w:p>
    <w:p>
      <w:pPr/>
      <w:r>
        <w:t>The age-group chart shows that customers aged 36–45 account for 385 claims (38.5%), followed by ages 26–35 with 352 claims (35.2%). Together, these two groups represent 737 of the 1,000 claims (73.7%) shown on the page. This describes claim volume, not necessarily a higher individual risk.</w:t>
      </w:r>
    </w:p>
    <w:p>
      <w:pPr>
        <w:pStyle w:val="Heading2"/>
      </w:pPr>
      <w:r>
        <w:t>5. Policy-State Comparison</w:t>
      </w:r>
    </w:p>
    <w:p>
      <w:pPr/>
      <w:r>
        <w:t>The Policy &amp; Financial Analysis screenshot currently displays 537 claims, approximately ₹29 million in total claim amount, an average claim amount of ₹53.34K, and a fraud rate of 23.46% (126 fraudulent claims). In that view, OH has the highest displayed claim amount at approximately ₹10 million, followed by IL at roughly ₹9.5 million and IN at roughly ₹8.9 million.</w:t>
      </w:r>
    </w:p>
    <w:p>
      <w:pPr>
        <w:pStyle w:val="Heading2"/>
      </w:pPr>
      <w:r>
        <w:t>6. Month Trend — Verification Needed</w:t>
      </w:r>
    </w:p>
    <w:p>
      <w:pPr/>
      <w:r>
        <w:t>The monthly trend visual currently includes an “Other” category and shows January and February in an unexpected order. Before reporting exact January-versus-February figures, verify the incident-month parsing and sort order, and confirm whether any slicers or filters are active. Do not use this visual for a definitive monthly comparison until corrected.</w:t>
      </w:r>
    </w:p>
    <w:p>
      <w:pPr>
        <w:pStyle w:val="Heading2"/>
      </w:pPr>
      <w:r>
        <w:t>Recommended Business Action</w:t>
      </w:r>
    </w:p>
    <w:p>
      <w:pPr/>
      <w:r>
        <w:t>Use claim amount, fraud rate, and incident severity together to prioritize further review. Check the number of claims behind each percentage and investigate individual claims using supporting evidence. A high fraud rate or claim amount is an analytical flag, not confirmation of fraud.</w:t>
      </w:r>
    </w:p>
    <w:p>
      <w:pPr>
        <w:pStyle w:val="Heading1"/>
      </w:pPr>
      <w:r>
        <w:t>12. Limitations</w:t>
      </w:r>
    </w:p>
    <w:p>
      <w:pPr>
        <w:pStyle w:val="ListBullet"/>
      </w:pPr>
      <w:r>
        <w:t>The report is based on the supplied dataset and may not represent all insurance claims.</w:t>
      </w:r>
    </w:p>
    <w:p>
      <w:pPr>
        <w:pStyle w:val="ListBullet"/>
      </w:pPr>
      <w:r>
        <w:t>The fraud indicator is treated as the recorded label; the dashboard does not independently validate fraud.</w:t>
      </w:r>
    </w:p>
    <w:p>
      <w:pPr>
        <w:pStyle w:val="ListBullet"/>
      </w:pPr>
      <w:r>
        <w:t>Date-based conclusions depend on accurate date parsing and month classification.</w:t>
      </w:r>
    </w:p>
    <w:p>
      <w:pPr>
        <w:pStyle w:val="ListBullet"/>
      </w:pPr>
      <w:r>
        <w:t>Policy state and policy coverage level are used because a separate generic policy-type field was not identified in the supplied columns.</w:t>
      </w:r>
    </w:p>
    <w:p>
      <w:pPr>
        <w:pStyle w:val="ListBullet"/>
      </w:pPr>
      <w:r>
        <w:t>No specific numeric business findings are asserted in this template until verified against the final visuals.</w:t>
      </w:r>
    </w:p>
    <w:p>
      <w:pPr>
        <w:pStyle w:val="Heading1"/>
      </w:pPr>
      <w:r>
        <w:t>13. Conclusion</w:t>
      </w:r>
    </w:p>
    <w:p>
      <w:r>
        <w:t>This project demonstrates the use of Power BI, Power Query, and DAX to organize insurance claim data into a multi-page interactive dashboard. It supports KPI monitoring, policy and financial comparisons, fraud-pattern exploration, and customer/vehicle analysis. The dashboard can help users investigate areas of interest and communicate data-driven observations.</w:t>
      </w:r>
    </w:p>
    <w:p>
      <w:pPr>
        <w:pStyle w:val="Heading1"/>
      </w:pPr>
      <w:r>
        <w:t>14. Repository Contents</w:t>
      </w:r>
    </w:p>
    <w:p>
      <w:pPr>
        <w:pStyle w:val="ListBullet"/>
      </w:pPr>
      <w:r>
        <w:t>PowerBI/ — the .pbix report file.</w:t>
      </w:r>
    </w:p>
    <w:p>
      <w:pPr>
        <w:pStyle w:val="ListBullet"/>
      </w:pPr>
      <w:r>
        <w:t>Dashboard_Screenshots/ — screenshots of the three dashboard pages.</w:t>
      </w:r>
    </w:p>
    <w:p>
      <w:pPr>
        <w:pStyle w:val="ListBullet"/>
      </w:pPr>
      <w:r>
        <w:t>Dataset/ — dataset, only if redistribution is permitted.</w:t>
      </w:r>
    </w:p>
    <w:p>
      <w:pPr>
        <w:pStyle w:val="ListBullet"/>
      </w:pPr>
      <w:r>
        <w:t>README.md — project overview, setup, dashboard features, and documentation.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Insurance Claims &amp; Fraud Analysis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