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20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64"/>
          <w:shd w:fill="auto" w:val="clear"/>
        </w:rPr>
        <w:t xml:space="preserve">LegalEase</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8"/>
          <w:shd w:fill="auto" w:val="clear"/>
        </w:rPr>
        <w:t xml:space="preserve">AI-Powered Legal Document Generator</w:t>
      </w:r>
    </w:p>
    <w:p>
      <w:pPr>
        <w:spacing w:before="0" w:after="1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595959"/>
          <w:spacing w:val="0"/>
          <w:position w:val="0"/>
          <w:sz w:val="28"/>
          <w:shd w:fill="auto" w:val="clear"/>
        </w:rPr>
        <w:t xml:space="preserve">Phase 8</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44"/>
          <w:shd w:fill="auto" w:val="clear"/>
        </w:rPr>
        <w:t xml:space="preserve">Project Demonstration</w:t>
      </w:r>
    </w:p>
    <w:p>
      <w:pPr>
        <w:spacing w:before="0" w:after="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1. Demonstration Objective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show the complete LegalEase workflow live: generating a legal document with AI, editing it, and exporting it in three formats with branding.</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2. Pre-Demo Checklist</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Virtual environment active and dependencies installed.</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.env contains a valid GEMINI_API_KEY.</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Backend running: uvicorn main:app --reload.</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Frontend running: streamlit run app.py.</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Internet connection verified; logo file present.</w:t>
      </w:r>
    </w:p>
    <w:p>
      <w:pPr>
        <w:numPr>
          <w:ilvl w:val="0"/>
          <w:numId w:val="8"/>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Backup: a previously generated sample document and screenshots ready.</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3. Demo Script (10 Minutes)</w:t>
      </w:r>
    </w:p>
    <w:tbl>
      <w:tblPr/>
      <w:tblGrid>
        <w:gridCol w:w="1300"/>
        <w:gridCol w:w="3000"/>
        <w:gridCol w:w="4726"/>
      </w:tblGrid>
      <w:tr>
        <w:trPr>
          <w:trHeight w:val="1" w:hRule="atLeast"/>
          <w:jc w:val="left"/>
        </w:trPr>
        <w:tc>
          <w:tcPr>
            <w:tcW w:w="13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Time</w:t>
            </w:r>
          </w:p>
        </w:tc>
        <w:tc>
          <w:tcPr>
            <w:tcW w:w="30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Step</w:t>
            </w:r>
          </w:p>
        </w:tc>
        <w:tc>
          <w:tcPr>
            <w:tcW w:w="4726"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What to Say / Show</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0:00-1:00</w:t>
            </w:r>
          </w:p>
        </w:tc>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Introduction</w:t>
            </w:r>
          </w:p>
        </w:tc>
        <w:tc>
          <w:tcPr>
            <w:tcW w:w="47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Explain the problem: routine legal drafting is slow and expensive. Introduce LegalEase.</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1:00-2:00</w:t>
            </w:r>
          </w:p>
        </w:tc>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Architecture</w:t>
            </w:r>
          </w:p>
        </w:tc>
        <w:tc>
          <w:tcPr>
            <w:tcW w:w="47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Show the Streamlit, FastAPI, Gemini flow diagram.</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2:00-3:00</w:t>
            </w:r>
          </w:p>
        </w:tc>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Health check</w:t>
            </w:r>
          </w:p>
        </w:tc>
        <w:tc>
          <w:tcPr>
            <w:tcW w:w="47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Open </w:t>
            </w:r>
            <w:hyperlink xmlns:r="http://schemas.openxmlformats.org/officeDocument/2006/relationships" r:id="docRId0">
              <w:r>
                <w:rPr>
                  <w:rFonts w:ascii="Calibri" w:hAnsi="Calibri" w:cs="Calibri" w:eastAsia="Calibri"/>
                  <w:color w:val="0000FF"/>
                  <w:spacing w:val="0"/>
                  <w:position w:val="0"/>
                  <w:sz w:val="20"/>
                  <w:u w:val="single"/>
                  <w:shd w:fill="auto" w:val="clear"/>
                </w:rPr>
                <w:t xml:space="preserve">http://127.0.0.1:8000</w:t>
              </w:r>
            </w:hyperlink>
            <w:r>
              <w:rPr>
                <w:rFonts w:ascii="Calibri" w:hAnsi="Calibri" w:cs="Calibri" w:eastAsia="Calibri"/>
                <w:color w:val="auto"/>
                <w:spacing w:val="0"/>
                <w:position w:val="0"/>
                <w:sz w:val="20"/>
                <w:shd w:fill="auto" w:val="clear"/>
              </w:rPr>
              <w:t xml:space="preserve"> and /docs to show the API.</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3:00-5:00</w:t>
            </w:r>
          </w:p>
        </w:tc>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Generate</w:t>
            </w:r>
          </w:p>
        </w:tc>
        <w:tc>
          <w:tcPr>
            <w:tcW w:w="47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Fill the form (Scenario 1) and click Generate Document.</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5:00-6:00</w:t>
            </w:r>
          </w:p>
        </w:tc>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Edit</w:t>
            </w:r>
          </w:p>
        </w:tc>
        <w:tc>
          <w:tcPr>
            <w:tcW w:w="47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Click Edit Document, change a clause, show the update.</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6:00-8:00</w:t>
            </w:r>
          </w:p>
        </w:tc>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Export</w:t>
            </w:r>
          </w:p>
        </w:tc>
        <w:tc>
          <w:tcPr>
            <w:tcW w:w="47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Download TXT, DOCX and PDF; open DOCX and PDF to show logo, terms table, header and footer.</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8:00-9:00</w:t>
            </w:r>
          </w:p>
        </w:tc>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Error handling</w:t>
            </w:r>
          </w:p>
        </w:tc>
        <w:tc>
          <w:tcPr>
            <w:tcW w:w="47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Show the clear message for a missing or invalid API key.</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9:00-10:00</w:t>
            </w:r>
          </w:p>
        </w:tc>
        <w:tc>
          <w:tcPr>
            <w:tcW w:w="30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Wrap-up</w:t>
            </w:r>
          </w:p>
        </w:tc>
        <w:tc>
          <w:tcPr>
            <w:tcW w:w="47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Summarise results, limitations, disclaimer and roadmap.</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4. Demo Scenarios</w:t>
      </w:r>
    </w:p>
    <w:p>
      <w:pPr>
        <w:spacing w:before="220" w:after="100" w:line="240"/>
        <w:ind w:right="0" w:left="0" w:firstLine="0"/>
        <w:jc w:val="left"/>
        <w:rPr>
          <w:rFonts w:ascii="Calibri" w:hAnsi="Calibri" w:cs="Calibri" w:eastAsia="Calibri"/>
          <w:b/>
          <w:color w:val="2E5597"/>
          <w:spacing w:val="0"/>
          <w:position w:val="0"/>
          <w:sz w:val="26"/>
          <w:shd w:fill="auto" w:val="clear"/>
        </w:rPr>
      </w:pPr>
      <w:r>
        <w:rPr>
          <w:rFonts w:ascii="Calibri" w:hAnsi="Calibri" w:cs="Calibri" w:eastAsia="Calibri"/>
          <w:b/>
          <w:color w:val="2E5597"/>
          <w:spacing w:val="0"/>
          <w:position w:val="0"/>
          <w:sz w:val="26"/>
          <w:shd w:fill="auto" w:val="clear"/>
        </w:rPr>
        <w:t xml:space="preserve">Scenario 1: Freelance Work Contract</w:t>
      </w:r>
    </w:p>
    <w:tbl>
      <w:tblPr/>
      <w:tblGrid>
        <w:gridCol w:w="2500"/>
        <w:gridCol w:w="6526"/>
      </w:tblGrid>
      <w:tr>
        <w:trPr>
          <w:trHeight w:val="1" w:hRule="atLeast"/>
          <w:jc w:val="left"/>
        </w:trPr>
        <w:tc>
          <w:tcPr>
            <w:tcW w:w="25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Field</w:t>
            </w:r>
          </w:p>
        </w:tc>
        <w:tc>
          <w:tcPr>
            <w:tcW w:w="6526"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Input</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Document type</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Freelance Work Contract</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Parties</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Jane Doe (Service Provider), TechNova Inc. (Client)</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Terms</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Payment to be made within 30 days of invoice; Confidentiality must be maintained at all times; Either party may terminate with 15 days notice</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Effective date</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April 10, 2026</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220" w:after="100" w:line="240"/>
        <w:ind w:right="0" w:left="0" w:firstLine="0"/>
        <w:jc w:val="left"/>
        <w:rPr>
          <w:rFonts w:ascii="Calibri" w:hAnsi="Calibri" w:cs="Calibri" w:eastAsia="Calibri"/>
          <w:b/>
          <w:color w:val="2E5597"/>
          <w:spacing w:val="0"/>
          <w:position w:val="0"/>
          <w:sz w:val="26"/>
          <w:shd w:fill="auto" w:val="clear"/>
        </w:rPr>
      </w:pPr>
      <w:r>
        <w:rPr>
          <w:rFonts w:ascii="Calibri" w:hAnsi="Calibri" w:cs="Calibri" w:eastAsia="Calibri"/>
          <w:b/>
          <w:color w:val="2E5597"/>
          <w:spacing w:val="0"/>
          <w:position w:val="0"/>
          <w:sz w:val="26"/>
          <w:shd w:fill="auto" w:val="clear"/>
        </w:rPr>
        <w:t xml:space="preserve">Scenario 2: Non-Disclosure Agreement</w:t>
      </w:r>
    </w:p>
    <w:tbl>
      <w:tblPr/>
      <w:tblGrid>
        <w:gridCol w:w="2500"/>
        <w:gridCol w:w="6526"/>
      </w:tblGrid>
      <w:tr>
        <w:trPr>
          <w:trHeight w:val="1" w:hRule="atLeast"/>
          <w:jc w:val="left"/>
        </w:trPr>
        <w:tc>
          <w:tcPr>
            <w:tcW w:w="25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Field</w:t>
            </w:r>
          </w:p>
        </w:tc>
        <w:tc>
          <w:tcPr>
            <w:tcW w:w="6526"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Input</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Document type</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NDA</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Parties</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John Doe (Freelancer), ABC Corp (Client)</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Terms</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Confidentiality for 2 years; No disclosure to third parties</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Effective date</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April 15, 2026</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220" w:after="100" w:line="240"/>
        <w:ind w:right="0" w:left="0" w:firstLine="0"/>
        <w:jc w:val="left"/>
        <w:rPr>
          <w:rFonts w:ascii="Calibri" w:hAnsi="Calibri" w:cs="Calibri" w:eastAsia="Calibri"/>
          <w:b/>
          <w:color w:val="2E5597"/>
          <w:spacing w:val="0"/>
          <w:position w:val="0"/>
          <w:sz w:val="26"/>
          <w:shd w:fill="auto" w:val="clear"/>
        </w:rPr>
      </w:pPr>
      <w:r>
        <w:rPr>
          <w:rFonts w:ascii="Calibri" w:hAnsi="Calibri" w:cs="Calibri" w:eastAsia="Calibri"/>
          <w:b/>
          <w:color w:val="2E5597"/>
          <w:spacing w:val="0"/>
          <w:position w:val="0"/>
          <w:sz w:val="26"/>
          <w:shd w:fill="auto" w:val="clear"/>
        </w:rPr>
        <w:t xml:space="preserve">Scenario 3: Lease Agreement</w:t>
      </w:r>
    </w:p>
    <w:tbl>
      <w:tblPr/>
      <w:tblGrid>
        <w:gridCol w:w="2500"/>
        <w:gridCol w:w="6526"/>
      </w:tblGrid>
      <w:tr>
        <w:trPr>
          <w:trHeight w:val="1" w:hRule="atLeast"/>
          <w:jc w:val="left"/>
        </w:trPr>
        <w:tc>
          <w:tcPr>
            <w:tcW w:w="25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Field</w:t>
            </w:r>
          </w:p>
        </w:tc>
        <w:tc>
          <w:tcPr>
            <w:tcW w:w="6526"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Input</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Document type</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Lease Agreement</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Parties</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Alice Smith (Tenant), XYZ Realty (Landlord)</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Terms</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Monthly rent due on the 1st; Security deposit refundable at end of lease; Tenant responsible for utilities</w:t>
            </w:r>
          </w:p>
        </w:tc>
      </w:tr>
      <w:tr>
        <w:trPr>
          <w:trHeight w:val="1" w:hRule="atLeast"/>
          <w:jc w:val="left"/>
        </w:trPr>
        <w:tc>
          <w:tcPr>
            <w:tcW w:w="2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Effective date</w:t>
            </w:r>
          </w:p>
        </w:tc>
        <w:tc>
          <w:tcPr>
            <w:tcW w:w="6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May 1, 2026</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5. Expected Results</w:t>
      </w:r>
    </w:p>
    <w:p>
      <w:pPr>
        <w:numPr>
          <w:ilvl w:val="0"/>
          <w:numId w:val="7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complete, structured legal document appears in the preview within seconds.</w:t>
      </w:r>
    </w:p>
    <w:p>
      <w:pPr>
        <w:numPr>
          <w:ilvl w:val="0"/>
          <w:numId w:val="7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Edited text is reflected in all downloads.</w:t>
      </w:r>
    </w:p>
    <w:p>
      <w:pPr>
        <w:numPr>
          <w:ilvl w:val="0"/>
          <w:numId w:val="7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DOCX contains logo, headings, terms table and footer.</w:t>
      </w:r>
    </w:p>
    <w:p>
      <w:pPr>
        <w:numPr>
          <w:ilvl w:val="0"/>
          <w:numId w:val="7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PDF contains logo, bold headings, bullet terms, header and footer on each page.</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6. Anticipated Questions and Answers</w:t>
      </w:r>
    </w:p>
    <w:tbl>
      <w:tblPr/>
      <w:tblGrid>
        <w:gridCol w:w="3500"/>
        <w:gridCol w:w="5526"/>
      </w:tblGrid>
      <w:tr>
        <w:trPr>
          <w:trHeight w:val="1" w:hRule="atLeast"/>
          <w:jc w:val="left"/>
        </w:trPr>
        <w:tc>
          <w:tcPr>
            <w:tcW w:w="3500"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Question</w:t>
            </w:r>
          </w:p>
        </w:tc>
        <w:tc>
          <w:tcPr>
            <w:tcW w:w="5526" w:type="dxa"/>
            <w:tcBorders>
              <w:top w:val="single" w:color="bfbfbf" w:sz="4"/>
              <w:left w:val="single" w:color="bfbfbf" w:sz="4"/>
              <w:bottom w:val="single" w:color="bfbfbf" w:sz="4"/>
              <w:right w:val="single" w:color="bfbfbf" w:sz="4"/>
            </w:tcBorders>
            <w:shd w:color="000000" w:fill="1f3864" w:val="clear"/>
            <w:tcMar>
              <w:left w:w="110" w:type="dxa"/>
              <w:right w:w="11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Suggested Answer</w:t>
            </w:r>
          </w:p>
        </w:tc>
      </w:tr>
      <w:tr>
        <w:trPr>
          <w:trHeight w:val="1" w:hRule="atLeast"/>
          <w:jc w:val="left"/>
        </w:trPr>
        <w:tc>
          <w:tcPr>
            <w:tcW w:w="3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Is this legal advice?</w:t>
            </w:r>
          </w:p>
        </w:tc>
        <w:tc>
          <w:tcPr>
            <w:tcW w:w="5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No. It produces drafts for informational purposes; a lawyer should review them.</w:t>
            </w:r>
          </w:p>
        </w:tc>
      </w:tr>
      <w:tr>
        <w:trPr>
          <w:trHeight w:val="1" w:hRule="atLeast"/>
          <w:jc w:val="left"/>
        </w:trPr>
        <w:tc>
          <w:tcPr>
            <w:tcW w:w="3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Why FastAPI and Streamlit?</w:t>
            </w:r>
          </w:p>
        </w:tc>
        <w:tc>
          <w:tcPr>
            <w:tcW w:w="5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FastAPI gives a clean validated API; Streamlit enables a fast Python-only UI.</w:t>
            </w:r>
          </w:p>
        </w:tc>
      </w:tr>
      <w:tr>
        <w:trPr>
          <w:trHeight w:val="1" w:hRule="atLeast"/>
          <w:jc w:val="left"/>
        </w:trPr>
        <w:tc>
          <w:tcPr>
            <w:tcW w:w="3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How is the API key protected?</w:t>
            </w:r>
          </w:p>
        </w:tc>
        <w:tc>
          <w:tcPr>
            <w:tcW w:w="5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Stored in .env, excluded from Git and never hard-coded.</w:t>
            </w:r>
          </w:p>
        </w:tc>
      </w:tr>
      <w:tr>
        <w:trPr>
          <w:trHeight w:val="1" w:hRule="atLeast"/>
          <w:jc w:val="left"/>
        </w:trPr>
        <w:tc>
          <w:tcPr>
            <w:tcW w:w="3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Can the model be changed?</w:t>
            </w:r>
          </w:p>
        </w:tc>
        <w:tc>
          <w:tcPr>
            <w:tcW w:w="5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Yes, through the GEMINI_MODEL environment variable.</w:t>
            </w:r>
          </w:p>
        </w:tc>
      </w:tr>
      <w:tr>
        <w:trPr>
          <w:trHeight w:val="1" w:hRule="atLeast"/>
          <w:jc w:val="left"/>
        </w:trPr>
        <w:tc>
          <w:tcPr>
            <w:tcW w:w="3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What if the AI gives wrong clauses?</w:t>
            </w:r>
          </w:p>
        </w:tc>
        <w:tc>
          <w:tcPr>
            <w:tcW w:w="5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The preview is editable and the disclaimer requires professional review.</w:t>
            </w:r>
          </w:p>
        </w:tc>
      </w:tr>
      <w:tr>
        <w:trPr>
          <w:trHeight w:val="1" w:hRule="atLeast"/>
          <w:jc w:val="left"/>
        </w:trPr>
        <w:tc>
          <w:tcPr>
            <w:tcW w:w="35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What is next?</w:t>
            </w:r>
          </w:p>
        </w:tc>
        <w:tc>
          <w:tcPr>
            <w:tcW w:w="5526"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Contract analysis, summaries, multilingual output, user accounts and custom branding.</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7. Screenshots to Attach</w:t>
      </w:r>
    </w:p>
    <w:p>
      <w:pPr>
        <w:numPr>
          <w:ilvl w:val="0"/>
          <w:numId w:val="9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Input form</w:t>
      </w:r>
    </w:p>
    <w:p>
      <w:pPr>
        <w:numPr>
          <w:ilvl w:val="0"/>
          <w:numId w:val="9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Generated preview</w:t>
      </w:r>
    </w:p>
    <w:p>
      <w:pPr>
        <w:numPr>
          <w:ilvl w:val="0"/>
          <w:numId w:val="9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Edit mode</w:t>
      </w:r>
    </w:p>
    <w:p>
      <w:pPr>
        <w:numPr>
          <w:ilvl w:val="0"/>
          <w:numId w:val="9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DOCX output</w:t>
      </w:r>
    </w:p>
    <w:p>
      <w:pPr>
        <w:numPr>
          <w:ilvl w:val="0"/>
          <w:numId w:val="9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PDF output</w:t>
      </w:r>
    </w:p>
    <w:p>
      <w:pPr>
        <w:numPr>
          <w:ilvl w:val="0"/>
          <w:numId w:val="9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FastAPI /docs page</w:t>
      </w:r>
    </w:p>
    <w:p>
      <w:pPr>
        <w:numPr>
          <w:ilvl w:val="0"/>
          <w:numId w:val="9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 message example</w:t>
      </w:r>
    </w:p>
    <w:p>
      <w:pPr>
        <w:spacing w:before="320" w:after="160" w:line="240"/>
        <w:ind w:right="0" w:left="0" w:firstLine="0"/>
        <w:jc w:val="left"/>
        <w:rPr>
          <w:rFonts w:ascii="Calibri" w:hAnsi="Calibri" w:cs="Calibri" w:eastAsia="Calibri"/>
          <w:b/>
          <w:color w:val="1F3864"/>
          <w:spacing w:val="0"/>
          <w:position w:val="0"/>
          <w:sz w:val="32"/>
          <w:shd w:fill="auto" w:val="clear"/>
        </w:rPr>
      </w:pPr>
      <w:r>
        <w:rPr>
          <w:rFonts w:ascii="Calibri" w:hAnsi="Calibri" w:cs="Calibri" w:eastAsia="Calibri"/>
          <w:b/>
          <w:color w:val="1F3864"/>
          <w:spacing w:val="0"/>
          <w:position w:val="0"/>
          <w:sz w:val="32"/>
          <w:shd w:fill="auto" w:val="clear"/>
        </w:rPr>
        <w:t xml:space="preserve">8. Conclusion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LegalEase demonstrates a practical use of generative AI: it reduces the time and cost of drafting routine legal documents while keeping the user in control through editing and professional review. The modular design allows further growth through the planned roadmap.</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8">
    <w:abstractNumId w:val="12"/>
  </w:num>
  <w:num w:numId="75">
    <w:abstractNumId w:val="6"/>
  </w:num>
  <w:num w:numId="9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127.0.0.1:8000/"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