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64A56"/>
          <w:sz w:val="48"/>
        </w:rPr>
        <w:t>Spotter Freight Rate Prediction Assessment</w:t>
      </w:r>
    </w:p>
    <w:p>
      <w:pPr>
        <w:jc w:val="center"/>
      </w:pPr>
      <w:r>
        <w:rPr>
          <w:rFonts w:ascii="Calibri" w:hAnsi="Calibri"/>
          <w:i/>
          <w:color w:val="465A60"/>
          <w:sz w:val="24"/>
        </w:rPr>
        <w:t>Machine Learning Engineer Assessment Report | Candidate: Bhavesh Prajapati</w:t>
      </w:r>
    </w:p>
    <w:p/>
    <w:p>
      <w:pPr>
        <w:pStyle w:val="Heading1"/>
      </w:pPr>
      <w:r>
        <w:rPr>
          <w:color w:val="064A56"/>
        </w:rPr>
        <w:t>1. Executive Summary</w:t>
      </w:r>
    </w:p>
    <w:p>
      <w:r>
        <w:t>This report documents the machine learning methodology, validation framework, and end-to-end production pipeline developed for Spotter's Freight Rate Prediction Challenge. The objective is to accurately forecast posted freight spot rates across diverse freight equipment types, origin-destination geographical lanes, macro market index fluctuations, and automated quote signals.</w:t>
      </w:r>
    </w:p>
    <w:p>
      <w:r>
        <w:t>Key Accomplishments:</w:t>
        <w:br/>
        <w:t>• Comprehensive data audit uncovering inverted negative freight weights and temporal market index structures.</w:t>
        <w:br/>
        <w:t>• Out-of-Time (OOT) temporal validation simulating realistic real-world production forecasting.</w:t>
        <w:br/>
        <w:t>• Domain-specific feature engineering encompassing Haversine distances, circuity indices, bearing angles, and market interaction signals.</w:t>
        <w:br/>
        <w:t>• High-performance ensemble architecture combining CatBoost Rate-per-Mile, CatBoost Residual Regressors, and XGBoost, reducing prediction MAE by &gt;51% over benchmark baselines (from $246.02 to $118.22, R² = 0.8265).</w:t>
        <w:br/>
        <w:t>• 100% compliance with Spotter's score.py verification suite, producing validated predictions for all 12,000 validation loads and 31 December route inputs.</w:t>
      </w:r>
    </w:p>
    <w:p>
      <w:pPr>
        <w:pStyle w:val="Heading1"/>
      </w:pPr>
      <w:r>
        <w:rPr>
          <w:color w:val="064A56"/>
        </w:rPr>
        <w:t>2. Data Exploration &amp; Quality Findings</w:t>
      </w:r>
    </w:p>
    <w:p>
      <w:r>
        <w:t>Rigorous exploratory data analysis (EDA) was performed across the 48,000 labeled development loads (train_test.csv) and the 12,000 validation loads (validation.csv). The analysis uncovered several critical data-quality nuances:</w:t>
      </w:r>
    </w:p>
    <w:p>
      <w:r>
        <w:t>1. Inverted Negative Cargo Weights:</w:t>
        <w:br/>
        <w:t xml:space="preserve">   - Development data contained 292 negative weights, and validation data contained 145 negative weights (ranging down to -47,500 lbs).</w:t>
        <w:br/>
        <w:t xml:space="preserve">   - Statistical distribution analysis proved that the absolute values of these negative entries perfectly mirrored legitimate freight payload distributions (mean ~31,700 lbs; max 47,500 lbs, conforming to US standard 80,000 lb GVWR legal limits).</w:t>
        <w:br/>
        <w:t xml:space="preserve">   - Resolution: Corrected via df['weight'] = df['weight'].abs(). The remaining missing weights (300 in train, 165 in val) were imputed with the robust median weight (31,496 lbs).</w:t>
        <w:br/>
        <w:br/>
        <w:t>2. Weekly Seasonality in Market Index:</w:t>
        <w:br/>
        <w:t xml:space="preserve">   - Missing market_index values (374 in train, 249 in val) exhibited strong temporal dependency.</w:t>
        <w:br/>
        <w:t xml:space="preserve">   - Analysis demonstrated that market_index represents a daily macro index with a low within-day standard deviation (~0.024) and strong day-of-week seasonality (peaking mid-week and troughing on weekends).</w:t>
        <w:br/>
        <w:t xml:space="preserve">   - Resolution: Imputed missing market indices using the day's median value.</w:t>
        <w:br/>
        <w:br/>
        <w:t>3. Route Circuity Factor:</w:t>
        <w:br/>
        <w:t xml:space="preserve">   - The highway distance relative to Great Circle (Haversine) distance averaged 1.194, matching transportation industry standard road circuity (1.15 - 1.20).</w:t>
      </w:r>
    </w:p>
    <w:p>
      <w:pPr>
        <w:pStyle w:val="Heading1"/>
      </w:pPr>
      <w:r>
        <w:rPr>
          <w:color w:val="064A56"/>
        </w:rPr>
        <w:t>3. Validation Strategy &amp; Data Split Approach</w:t>
      </w:r>
    </w:p>
    <w:p>
      <w:r>
        <w:t>A critical pitfall in freight rate pricing is naive random K-fold cross-validation. In spot freight markets, freight rates are time-dependent and subject to forward-looking macro conditions. Random splitting leaks future seasonal patterns into past training folds, yielding overly optimistic metric estimates that fail in production.</w:t>
      </w:r>
    </w:p>
    <w:p>
      <w:r>
        <w:t>Approach Adopted:</w:t>
        <w:br/>
        <w:t>• Temporal Horizon Alignment: The labeled development set spans 10 months (Jan 01, 2025 to Oct 31, 2025), while the unseen validation set spans the subsequent 2 months (Nov 01, 2025 to Dec 31, 2025).</w:t>
        <w:br/>
        <w:t>• Out-of-Time (OOT) Split: To mirror this exact deployment transition, we split the development data chronologically:</w:t>
        <w:br/>
        <w:t xml:space="preserve">    - Development Training Fold: Months 1–8 (Jan 01, 2025 to Aug 31, 2025; 38,477 loads, 80.2%)</w:t>
        <w:br/>
        <w:t xml:space="preserve">    - Development Validation Fold: Months 9–10 (Sep 01, 2025 to Oct 31, 2025; 9,523 loads, 19.8%)</w:t>
        <w:br/>
        <w:t>• This guarantees that all model tuning, hyperparameter choices, and feature engineering are evaluated strictly on unseen future dates.</w:t>
      </w:r>
    </w:p>
    <w:p>
      <w:pPr>
        <w:pStyle w:val="Heading1"/>
      </w:pPr>
      <w:r>
        <w:rPr>
          <w:color w:val="064A56"/>
        </w:rPr>
        <w:t>4. Model Architecture &amp; Benchmark Results</w:t>
      </w:r>
    </w:p>
    <w:p>
      <w:r>
        <w:t>A multi-model competitive benchmarking was conducted across linear baselines, standalone gradient boosting trees, and custom loss formulations: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</w:rPr>
              <w:t>Model / Strategy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Target Formulation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MAE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RMSE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MedAE ($)</w:t>
            </w:r>
          </w:p>
        </w:tc>
        <w:tc>
          <w:tcPr>
            <w:tcW w:type="dxa" w:w="1656"/>
          </w:tcPr>
          <w:p>
            <w:r>
              <w:rPr>
                <w:b/>
              </w:rPr>
              <w:t>R² Score</w:t>
            </w:r>
          </w:p>
        </w:tc>
      </w:tr>
      <w:tr>
        <w:tc>
          <w:tcPr>
            <w:tcW w:type="dxa" w:w="1656"/>
          </w:tcPr>
          <w:p>
            <w:r>
              <w:t>Baseline 1: Quote Signal Total</w:t>
            </w:r>
          </w:p>
        </w:tc>
        <w:tc>
          <w:tcPr>
            <w:tcW w:type="dxa" w:w="1656"/>
          </w:tcPr>
          <w:p>
            <w:r>
              <w:t>distance * quote_signal</w:t>
            </w:r>
          </w:p>
        </w:tc>
        <w:tc>
          <w:tcPr>
            <w:tcW w:type="dxa" w:w="1656"/>
          </w:tcPr>
          <w:p>
            <w:r>
              <w:t>$246.02</w:t>
            </w:r>
          </w:p>
        </w:tc>
        <w:tc>
          <w:tcPr>
            <w:tcW w:type="dxa" w:w="1656"/>
          </w:tcPr>
          <w:p>
            <w:r>
              <w:t>$711.80</w:t>
            </w:r>
          </w:p>
        </w:tc>
        <w:tc>
          <w:tcPr>
            <w:tcW w:type="dxa" w:w="1656"/>
          </w:tcPr>
          <w:p>
            <w:r>
              <w:t>$60.44</w:t>
            </w:r>
          </w:p>
        </w:tc>
        <w:tc>
          <w:tcPr>
            <w:tcW w:type="dxa" w:w="1656"/>
          </w:tcPr>
          <w:p>
            <w:r>
              <w:t>0.7824</w:t>
            </w:r>
          </w:p>
        </w:tc>
      </w:tr>
      <w:tr>
        <w:tc>
          <w:tcPr>
            <w:tcW w:type="dxa" w:w="1656"/>
          </w:tcPr>
          <w:p>
            <w:r>
              <w:t>Baseline 2: Historical Lane RPM</w:t>
            </w:r>
          </w:p>
        </w:tc>
        <w:tc>
          <w:tcPr>
            <w:tcW w:type="dxa" w:w="1656"/>
          </w:tcPr>
          <w:p>
            <w:r>
              <w:t>Historical Rate/Mile</w:t>
            </w:r>
          </w:p>
        </w:tc>
        <w:tc>
          <w:tcPr>
            <w:tcW w:type="dxa" w:w="1656"/>
          </w:tcPr>
          <w:p>
            <w:r>
              <w:t>$222.48</w:t>
            </w:r>
          </w:p>
        </w:tc>
        <w:tc>
          <w:tcPr>
            <w:tcW w:type="dxa" w:w="1656"/>
          </w:tcPr>
          <w:p>
            <w:r>
              <w:t>$682.29</w:t>
            </w:r>
          </w:p>
        </w:tc>
        <w:tc>
          <w:tcPr>
            <w:tcW w:type="dxa" w:w="1656"/>
          </w:tcPr>
          <w:p>
            <w:r>
              <w:t>$105.78</w:t>
            </w:r>
          </w:p>
        </w:tc>
        <w:tc>
          <w:tcPr>
            <w:tcW w:type="dxa" w:w="1656"/>
          </w:tcPr>
          <w:p>
            <w:r>
              <w:t>0.8001</w:t>
            </w:r>
          </w:p>
        </w:tc>
      </w:tr>
      <w:tr>
        <w:tc>
          <w:tcPr>
            <w:tcW w:type="dxa" w:w="1656"/>
          </w:tcPr>
          <w:p>
            <w:r>
              <w:t>CatBoost Direct</w:t>
            </w:r>
          </w:p>
        </w:tc>
        <w:tc>
          <w:tcPr>
            <w:tcW w:type="dxa" w:w="1656"/>
          </w:tcPr>
          <w:p>
            <w:r>
              <w:t>posted_rate</w:t>
            </w:r>
          </w:p>
        </w:tc>
        <w:tc>
          <w:tcPr>
            <w:tcW w:type="dxa" w:w="1656"/>
          </w:tcPr>
          <w:p>
            <w:r>
              <w:t>$140.46</w:t>
            </w:r>
          </w:p>
        </w:tc>
        <w:tc>
          <w:tcPr>
            <w:tcW w:type="dxa" w:w="1656"/>
          </w:tcPr>
          <w:p>
            <w:r>
              <w:t>$643.22</w:t>
            </w:r>
          </w:p>
        </w:tc>
        <w:tc>
          <w:tcPr>
            <w:tcW w:type="dxa" w:w="1656"/>
          </w:tcPr>
          <w:p>
            <w:r>
              <w:t>$58.67</w:t>
            </w:r>
          </w:p>
        </w:tc>
        <w:tc>
          <w:tcPr>
            <w:tcW w:type="dxa" w:w="1656"/>
          </w:tcPr>
          <w:p>
            <w:r>
              <w:t>0.8223</w:t>
            </w:r>
          </w:p>
        </w:tc>
      </w:tr>
      <w:tr>
        <w:tc>
          <w:tcPr>
            <w:tcW w:type="dxa" w:w="1656"/>
          </w:tcPr>
          <w:p>
            <w:r>
              <w:t>CatBoost Rate-per-Mile</w:t>
            </w:r>
          </w:p>
        </w:tc>
        <w:tc>
          <w:tcPr>
            <w:tcW w:type="dxa" w:w="1656"/>
          </w:tcPr>
          <w:p>
            <w:r>
              <w:t>posted_rate / distance</w:t>
            </w:r>
          </w:p>
        </w:tc>
        <w:tc>
          <w:tcPr>
            <w:tcW w:type="dxa" w:w="1656"/>
          </w:tcPr>
          <w:p>
            <w:r>
              <w:t>$129.98</w:t>
            </w:r>
          </w:p>
        </w:tc>
        <w:tc>
          <w:tcPr>
            <w:tcW w:type="dxa" w:w="1656"/>
          </w:tcPr>
          <w:p>
            <w:r>
              <w:t>$642.22</w:t>
            </w:r>
          </w:p>
        </w:tc>
        <w:tc>
          <w:tcPr>
            <w:tcW w:type="dxa" w:w="1656"/>
          </w:tcPr>
          <w:p>
            <w:r>
              <w:t>$48.35</w:t>
            </w:r>
          </w:p>
        </w:tc>
        <w:tc>
          <w:tcPr>
            <w:tcW w:type="dxa" w:w="1656"/>
          </w:tcPr>
          <w:p>
            <w:r>
              <w:t>0.8229</w:t>
            </w:r>
          </w:p>
        </w:tc>
      </w:tr>
      <w:tr>
        <w:tc>
          <w:tcPr>
            <w:tcW w:type="dxa" w:w="1656"/>
          </w:tcPr>
          <w:p>
            <w:r>
              <w:t>CatBoost Residual Regressor</w:t>
            </w:r>
          </w:p>
        </w:tc>
        <w:tc>
          <w:tcPr>
            <w:tcW w:type="dxa" w:w="1656"/>
          </w:tcPr>
          <w:p>
            <w:r>
              <w:t>posted_rate - quote_total</w:t>
            </w:r>
          </w:p>
        </w:tc>
        <w:tc>
          <w:tcPr>
            <w:tcW w:type="dxa" w:w="1656"/>
          </w:tcPr>
          <w:p>
            <w:r>
              <w:t>$131.81</w:t>
            </w:r>
          </w:p>
        </w:tc>
        <w:tc>
          <w:tcPr>
            <w:tcW w:type="dxa" w:w="1656"/>
          </w:tcPr>
          <w:p>
            <w:r>
              <w:t>$641.48</w:t>
            </w:r>
          </w:p>
        </w:tc>
        <w:tc>
          <w:tcPr>
            <w:tcW w:type="dxa" w:w="1656"/>
          </w:tcPr>
          <w:p>
            <w:r>
              <w:t>$51.55</w:t>
            </w:r>
          </w:p>
        </w:tc>
        <w:tc>
          <w:tcPr>
            <w:tcW w:type="dxa" w:w="1656"/>
          </w:tcPr>
          <w:p>
            <w:r>
              <w:t>0.8233</w:t>
            </w:r>
          </w:p>
        </w:tc>
      </w:tr>
      <w:tr>
        <w:tc>
          <w:tcPr>
            <w:tcW w:type="dxa" w:w="1656"/>
          </w:tcPr>
          <w:p>
            <w:r>
              <w:t>XGBoost Regressor</w:t>
            </w:r>
          </w:p>
        </w:tc>
        <w:tc>
          <w:tcPr>
            <w:tcW w:type="dxa" w:w="1656"/>
          </w:tcPr>
          <w:p>
            <w:r>
              <w:t>posted_rate (Histogram)</w:t>
            </w:r>
          </w:p>
        </w:tc>
        <w:tc>
          <w:tcPr>
            <w:tcW w:type="dxa" w:w="1656"/>
          </w:tcPr>
          <w:p>
            <w:r>
              <w:t>$203.00</w:t>
            </w:r>
          </w:p>
        </w:tc>
        <w:tc>
          <w:tcPr>
            <w:tcW w:type="dxa" w:w="1656"/>
          </w:tcPr>
          <w:p>
            <w:r>
              <w:t>$686.97</w:t>
            </w:r>
          </w:p>
        </w:tc>
        <w:tc>
          <w:tcPr>
            <w:tcW w:type="dxa" w:w="1656"/>
          </w:tcPr>
          <w:p>
            <w:r>
              <w:t>$84.44</w:t>
            </w:r>
          </w:p>
        </w:tc>
        <w:tc>
          <w:tcPr>
            <w:tcW w:type="dxa" w:w="1656"/>
          </w:tcPr>
          <w:p>
            <w:r>
              <w:t>0.7974</w:t>
            </w:r>
          </w:p>
        </w:tc>
      </w:tr>
      <w:tr>
        <w:tc>
          <w:tcPr>
            <w:tcW w:type="dxa" w:w="1656"/>
          </w:tcPr>
          <w:p>
            <w:r>
              <w:t>Production Ensemble (Blended)</w:t>
            </w:r>
          </w:p>
        </w:tc>
        <w:tc>
          <w:tcPr>
            <w:tcW w:type="dxa" w:w="1656"/>
          </w:tcPr>
          <w:p>
            <w:r>
              <w:t>0.50 RPM + 0.35 Res + 0.15 XGB</w:t>
            </w:r>
          </w:p>
        </w:tc>
        <w:tc>
          <w:tcPr>
            <w:tcW w:type="dxa" w:w="1656"/>
          </w:tcPr>
          <w:p>
            <w:r>
              <w:t>$118.22</w:t>
            </w:r>
          </w:p>
        </w:tc>
        <w:tc>
          <w:tcPr>
            <w:tcW w:type="dxa" w:w="1656"/>
          </w:tcPr>
          <w:p>
            <w:r>
              <w:t>$635.70</w:t>
            </w:r>
          </w:p>
        </w:tc>
        <w:tc>
          <w:tcPr>
            <w:tcW w:type="dxa" w:w="1656"/>
          </w:tcPr>
          <w:p>
            <w:r>
              <w:t>$43.46</w:t>
            </w:r>
          </w:p>
        </w:tc>
        <w:tc>
          <w:tcPr>
            <w:tcW w:type="dxa" w:w="1656"/>
          </w:tcPr>
          <w:p>
            <w:r>
              <w:t>0.8265</w:t>
            </w:r>
          </w:p>
        </w:tc>
      </w:tr>
    </w:tbl>
    <w:p/>
    <w:p>
      <w:r>
        <w:t>Architectural Rationale:</w:t>
        <w:br/>
        <w:t>1. CatBoost Rate-per-Mile: Modeling rate per mile normalizes error scale across short-haul (100 mi) and cross-country (2,500 mi) loads, preventing distance-dominant variance.</w:t>
        <w:br/>
        <w:t>2. CatBoost Residual on Quote Signal: Exploits broker pricing intelligence by focusing tree capacity exclusively on pricing spreads and market inefficiencies.</w:t>
        <w:br/>
        <w:t>3. Blended Ensemble: Combining distinct loss formulations yields variance reduction and robust calibration.</w:t>
      </w:r>
    </w:p>
    <w:p>
      <w:pPr>
        <w:pStyle w:val="Heading1"/>
      </w:pPr>
      <w:r>
        <w:rPr>
          <w:color w:val="064A56"/>
        </w:rPr>
        <w:t>5. Fixed December 2025 Prediction Chart</w:t>
      </w:r>
    </w:p>
    <w:p>
      <w:r>
        <w:t>As specified in the assessment requirements, Spotter's official score.py script was executed to validate the final submission files and generate candidate_december.png for the fixed route: Lexington to Fort Wayne (360 miles, Dry Van, 32,000 lbs, December 1 to December 31, 2025).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1846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65A60"/>
          <w:sz w:val="19"/>
        </w:rPr>
        <w:t>Figure 1: Generated candidate_december.png produced by score.py</w:t>
      </w:r>
    </w:p>
    <w:p>
      <w:r>
        <w:t>Market Dynamics Reflected in the Chart:</w:t>
        <w:br/>
        <w:t>• Weekly Freight Rhythm: Predicted rates exhibit pronounced weekly oscillations ($825 – $852), peaking on Wednesday–Thursday and easing on weekends, exactly mirroring transportation dispatch demand.</w:t>
        <w:br/>
        <w:t>• Holiday Season Surcharge: Heading toward late December and New Year's Eve, rates elevate to $853 due to carrier capacity tightness and driver availability constraints.</w:t>
        <w:br/>
        <w:t>• Economic Scale Consistency: The predicted per-mile rate ($2.29 – $2.37/mile) strictly aligns with historical Dry Van operations for the Midwest regional corridor.</w:t>
      </w:r>
    </w:p>
    <w:p>
      <w:pPr>
        <w:pStyle w:val="Heading1"/>
      </w:pPr>
      <w:r>
        <w:rPr>
          <w:color w:val="064A56"/>
        </w:rPr>
        <w:t>6. Execution &amp; Verification Instructions</w:t>
      </w:r>
    </w:p>
    <w:p>
      <w:r>
        <w:t>To reproduce the complete pipeline and verify all submission artifacts from scratch:</w:t>
        <w:br/>
        <w:br/>
        <w:t>1. Install Requirements:</w:t>
        <w:br/>
        <w:t xml:space="preserve">   python -m pip install -r requirements.txt</w:t>
        <w:br/>
        <w:br/>
        <w:t>2. Run the Production Pipeline:</w:t>
        <w:br/>
        <w:t xml:space="preserve">   python main.py</w:t>
        <w:br/>
        <w:br/>
        <w:t>3. Standalone Verification with score.py:</w:t>
        <w:br/>
        <w:t xml:space="preserve">   python score.py --predictions validation_predictions.csv --december-predictions data/december_chart_inputs.csv</w:t>
        <w:br/>
        <w:br/>
        <w:t>Result: 'SUCCESS: Validated 12,000 final predictions. Validated 31 fixed December predictions.'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