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28"/>
          <w:szCs w:val="28"/>
          <w:u w:val="single"/>
        </w:rPr>
        <w:t xml:space="preserve">Medical Information Response</w:t>
      </w:r>
    </w:p>
    <w:p>
      <w:pPr>
        <w:spacing w:after="160"/>
      </w:pPr>
      <w:r>
        <w:rPr>
          <w:i/>
          <w:iCs/>
          <w:sz w:val="24"/>
          <w:szCs w:val="24"/>
        </w:rPr>
        <w:t xml:space="preserve">Attack-Free Outcomes, Mechanism of Action, and Duration of Follow-Up with Lonvoguran Ziclumeran (Lonvo-Z / NTLA-2002) in Hereditary Angioedema</w:t>
      </w:r>
    </w:p>
    <w:p>
      <w:pPr>
        <w:pBdr>
          <w:bottom w:val="single" w:color="BFBFBF" w:sz="6" w:space="6"/>
        </w:pBdr>
        <w:spacing w:after="60"/>
      </w:pPr>
      <w:r>
        <w:rPr>
          <w:b/>
          <w:bCs/>
        </w:rPr>
        <w:t xml:space="preserve">Document ID: </w:t>
      </w:r>
      <w:r>
        <w:t xml:space="preserve">SRL-2026-0001</w:t>
      </w:r>
      <w:r>
        <w:t xml:space="preserve">   ·   </w:t>
      </w:r>
      <w:r>
        <w:rPr>
          <w:b/>
          <w:bCs/>
        </w:rPr>
        <w:t xml:space="preserve">Version: </w:t>
      </w:r>
      <w:r>
        <w:t xml:space="preserve">0.5 DRAFT</w:t>
      </w:r>
      <w:r>
        <w:t xml:space="preserve">   ·   </w:t>
      </w:r>
      <w:r>
        <w:rPr>
          <w:b/>
          <w:bCs/>
        </w:rPr>
        <w:t xml:space="preserve">Date: </w:t>
      </w:r>
      <w:r>
        <w:t xml:space="preserve">17 July 2026</w:t>
      </w:r>
      <w:r>
        <w:t xml:space="preserve">   ·   </w:t>
      </w:r>
      <w:r>
        <w:rPr>
          <w:b/>
          <w:bCs/>
        </w:rPr>
        <w:t xml:space="preserve">Category: </w:t>
      </w:r>
      <w:r>
        <w:t xml:space="preserve">efficacy</w:t>
      </w:r>
    </w:p>
    <w:p>
      <w:pPr>
        <w:pStyle w:val="Heading2"/>
        <w:spacing w:after="100" w:before="240"/>
      </w:pPr>
      <w:r>
        <w:t xml:space="preserve">Summary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DEEAF6" w:color="auto" w:val="clear"/>
            <w:tcMar>
              <w:top w:type="dxa" w:w="120"/>
              <w:left w:type="dxa" w:w="180"/>
              <w:bottom w:type="dxa" w:w="120"/>
              <w:right w:type="dxa" w:w="180"/>
            </w:tcMar>
          </w:tcPr>
          <w:p>
            <w:pPr>
              <w:spacing w:after="120"/>
            </w:pPr>
            <w:r>
              <w:rPr>
                <w:b/>
                <w:bCs/>
              </w:rPr>
              <w:t xml:space="preserve">Lonvoguran ziclumeran (lonvo-z) is an investigational agent that has not been approved by the FDA, EMA, or any other health authority; its safety and efficacy have not been established. "Cure" — including "functional cure" — is not an endpoint that has been evaluated or established in the lonvo-z clinical program.</w:t>
            </w:r>
            <w:r>
              <w:t xml:space="preserve"> This response is provided in answer to an unsolicited request for medical information and is presented in a balanced, non-promotional manner.</w:t>
            </w:r>
          </w:p>
          <w:p>
            <w:pPr>
              <w:pStyle w:val="ListParagraph"/>
              <w:numPr>
                <w:ilvl w:val="0"/>
                <w:numId w:val="1"/>
              </w:numPr>
              <w:spacing w:after="60"/>
            </w:pPr>
            <w:r>
              <w:rPr>
                <w:b/>
                <w:bCs/>
              </w:rPr>
              <w:t xml:space="preserve">Attack-free (Phase 3 HAELO): </w:t>
            </w:r>
            <w:r>
              <w:t xml:space="preserve">32/52 (62%) with lonvo-z vs 3/28 (11%) with placebo, Week 5–28; −87% attack-rate reduction vs placebo (P&lt;0.001).</w:t>
            </w:r>
            <w:r>
              <w:rPr>
                <w:vertAlign w:val="superscript"/>
              </w:rPr>
              <w:t xml:space="preserve">1</w:t>
            </w:r>
          </w:p>
          <w:p>
            <w:pPr>
              <w:pStyle w:val="ListParagraph"/>
              <w:numPr>
                <w:ilvl w:val="0"/>
                <w:numId w:val="1"/>
              </w:numPr>
              <w:spacing w:after="60"/>
            </w:pPr>
            <w:r>
              <w:rPr>
                <w:b/>
                <w:bCs/>
              </w:rPr>
              <w:t xml:space="preserve">Long-term durability (open-label 50-mg analysis): </w:t>
            </w:r>
            <w:r>
              <w:t xml:space="preserve">26/28 (93%) attack-free and prophylaxis-free at latest follow-up; mean 95% attack-rate reduction.</w:t>
            </w:r>
            <w:r>
              <w:rPr>
                <w:vertAlign w:val="superscript"/>
              </w:rPr>
              <w:t xml:space="preserve">4</w:t>
            </w:r>
          </w:p>
          <w:p>
            <w:pPr>
              <w:pStyle w:val="ListParagraph"/>
              <w:numPr>
                <w:ilvl w:val="0"/>
                <w:numId w:val="1"/>
              </w:numPr>
              <w:spacing w:after="60"/>
            </w:pPr>
            <w:r>
              <w:rPr>
                <w:b/>
                <w:bCs/>
              </w:rPr>
              <w:t xml:space="preserve">Mechanism: </w:t>
            </w:r>
            <w:r>
              <w:t xml:space="preserve">a single dose uses CRISPR-Cas9 to knock out KLKB1 in hepatocytes, durably reducing plasma kallikrein and, in turn, bradykinin-mediated attacks.</w:t>
            </w:r>
            <w:r>
              <w:rPr>
                <w:vertAlign w:val="superscript"/>
              </w:rPr>
              <w:t xml:space="preserve">2</w:t>
            </w:r>
          </w:p>
          <w:p>
            <w:pPr>
              <w:pStyle w:val="ListParagraph"/>
              <w:numPr>
                <w:ilvl w:val="0"/>
                <w:numId w:val="1"/>
              </w:numPr>
              <w:spacing w:after="60"/>
            </w:pPr>
            <w:r>
              <w:rPr>
                <w:b/>
                <w:bCs/>
              </w:rPr>
              <w:t xml:space="preserve">Duration of data: </w:t>
            </w:r>
            <w:r>
              <w:t xml:space="preserve">HAELO median 7.5 months (controlled); Phase 1 median 20.1 months with durable, ongoing responses (peer-reviewed); up to ~2 years in the open-label 50-mg analysis.</w:t>
            </w:r>
            <w:r>
              <w:rPr>
                <w:vertAlign w:val="superscript"/>
              </w:rPr>
              <w:t xml:space="preserve">1</w:t>
            </w:r>
            <w:r>
              <w:t xml:space="preserve"> </w:t>
            </w:r>
            <w:r>
              <w:rPr>
                <w:vertAlign w:val="superscript"/>
              </w:rPr>
              <w:t xml:space="preserve">3,4</w:t>
            </w:r>
          </w:p>
          <w:p>
            <w:pPr>
              <w:pStyle w:val="ListParagraph"/>
              <w:numPr>
                <w:ilvl w:val="0"/>
                <w:numId w:val="1"/>
              </w:numPr>
              <w:spacing w:after="60"/>
            </w:pPr>
            <w:r>
              <w:rPr>
                <w:b/>
                <w:bCs/>
              </w:rPr>
              <w:t xml:space="preserve">Not characterized as a cure: </w:t>
            </w:r>
            <w:r>
              <w:t xml:space="preserve">"cure"/"functional cure" are not established endpoints for this investigational product.</w:t>
            </w:r>
          </w:p>
        </w:tc>
      </w:tr>
    </w:tbl>
    <w:p>
      <w:pPr>
        <w:spacing w:after="60"/>
      </w:pPr>
    </w:p>
    <w:p>
      <w:pPr>
        <w:pStyle w:val="Heading2"/>
        <w:spacing w:after="100" w:before="240"/>
      </w:pPr>
      <w:r>
        <w:t xml:space="preserve">Attack-Free Outcomes ("Cure Rate")</w:t>
      </w:r>
    </w:p>
    <w:p>
      <w:pPr>
        <w:spacing w:after="120"/>
      </w:pPr>
      <w:r>
        <w:t xml:space="preserve">Lonvoguran ziclumeran is an investigational therapy, and </w:t>
      </w:r>
      <w:r>
        <w:rPr>
          <w:b/>
          <w:bCs/>
        </w:rPr>
        <w:t xml:space="preserve">"cure" — including the term "functional cure" — is not an endpoint that has been evaluated or established in the lonvo-z clinical program</w:t>
      </w:r>
      <w:r>
        <w:t xml:space="preserve">. The most relevant available measures are the proportion of patients who became </w:t>
      </w:r>
      <w:r>
        <w:rPr>
          <w:b/>
          <w:bCs/>
        </w:rPr>
        <w:t xml:space="preserve">attack-free</w:t>
      </w:r>
      <w:r>
        <w:t xml:space="preserve"> and the </w:t>
      </w:r>
      <w:r>
        <w:rPr>
          <w:b/>
          <w:bCs/>
        </w:rPr>
        <w:t xml:space="preserve">reduction in attack rate</w:t>
      </w:r>
      <w:r>
        <w:t xml:space="preserve">.</w:t>
      </w:r>
    </w:p>
    <w:p>
      <w:pPr>
        <w:spacing w:after="120"/>
      </w:pPr>
      <w:r>
        <w:rPr>
          <w:b/>
          <w:bCs/>
        </w:rPr>
        <w:t xml:space="preserve">Phase 3 HAELO trial (pivotal, placebo-controlled). </w:t>
      </w:r>
      <w:r>
        <w:t xml:space="preserve">Patients received a single intravenous dose of lonvo-z 50 mg (n=52) or placebo (n=28). From Week 5 through Week 28, 32 of 52 patients (62%; 95% CI, 47 to 75) in the lonvo-z group were attack-free, versus 3 of 28 (11%; 95% CI, 2 to 28) with placebo (odds ratio, 12.81; 95% CI, 3.45 to 47.55; P&lt;0.001). The least-squares mean monthly attack rate was 0.26 (95% CI, 0.15 to 0.45) with lonvo-z versus 2.10 (95% CI, 1.55 to 2.86) with placebo — a relative reduction of 87% (95% CI, −93 to −78; P&lt;0.001).</w:t>
      </w:r>
      <w:r>
        <w:rPr>
          <w:vertAlign w:val="superscript"/>
        </w:rPr>
        <w:t xml:space="preserve">1</w:t>
      </w:r>
    </w:p>
    <w:p>
      <w:pPr>
        <w:spacing w:after="120"/>
      </w:pPr>
      <w:r>
        <w:rPr>
          <w:b/>
          <w:bCs/>
        </w:rPr>
        <w:t xml:space="preserve">Long-term durability (open-label analysis). </w:t>
      </w:r>
      <w:r>
        <w:t xml:space="preserve">Across all 28 patients who received lonvo-z 50 mg, 26 of 28 (93%) were attack-free and free of long-term prophylaxis at the latest follow-up (median 10.2 months; range, 0.5 to 24.0), with a mean 95% reduction in monthly attack rate from baseline. These are single-arm, open-label data from a congress abstract (not a full peer-reviewed manuscript) and are not placebo-controlled.</w:t>
      </w:r>
      <w:r>
        <w:rPr>
          <w:vertAlign w:val="superscript"/>
        </w:rPr>
        <w:t xml:space="preserve">4</w:t>
      </w:r>
    </w:p>
    <w:p>
      <w:pPr>
        <w:pStyle w:val="Heading2"/>
        <w:spacing w:after="100" w:before="240"/>
      </w:pPr>
      <w:r>
        <w:t xml:space="preserve">Mechanism of Action and Rationale for Targeting KLKB1</w:t>
      </w:r>
    </w:p>
    <w:p>
      <w:pPr>
        <w:spacing w:after="120"/>
      </w:pPr>
      <w:r>
        <w:t xml:space="preserve">Hereditary angioedema with C1-inhibitor deficiency arises from pathogenic variants in SERPING1 that cause deficient or dysfunctional C1 inhibitor, leading to unregulated activation of the plasma kallikrein–kinin pathway and excess bradykinin — the mediator of the increased vascular permeability that produces attacks.</w:t>
      </w:r>
      <w:r>
        <w:rPr>
          <w:vertAlign w:val="superscript"/>
        </w:rPr>
        <w:t xml:space="preserve">1,2</w:t>
      </w:r>
    </w:p>
    <w:p>
      <w:pPr>
        <w:spacing w:after="120"/>
      </w:pPr>
      <w:r>
        <w:rPr>
          <w:b/>
          <w:bCs/>
        </w:rPr>
        <w:t xml:space="preserve">Why this target. </w:t>
      </w:r>
      <w:r>
        <w:t xml:space="preserve">Rather than attempting to correct the many different SERPING1 mutations that cause C1-inhibitor deficiency, lonvo-z acts downstream in the same pathway: it knocks out KLKB1, the gene encoding prekallikrein (the precursor of plasma kallikrein), thereby lowering plasma kallikrein and reducing bradykinin production.</w:t>
      </w:r>
      <w:r>
        <w:rPr>
          <w:vertAlign w:val="superscript"/>
        </w:rPr>
        <w:t xml:space="preserve">2</w:t>
      </w:r>
    </w:p>
    <w:p>
      <w:pPr>
        <w:spacing w:after="120"/>
      </w:pPr>
      <w:r>
        <w:rPr>
          <w:b/>
          <w:bCs/>
        </w:rPr>
        <w:t xml:space="preserve">Delivery and editing. </w:t>
      </w:r>
      <w:r>
        <w:t xml:space="preserve">Lonvo-z uses lipid nanoparticle (LNP) technology with natural liver tropism to encapsulate two components — messenger RNA encoding the Cas9 endonuclease and a single guide RNA targeting KLKB1. The LNPs are taken up by hepatocytes via low-density-lipoprotein-receptor-mediated endocytosis; the Cas9–guide-RNA ribonucleoprotein complex makes a double-strand break in KLKB1, and repair by the nonhomologous end-joining pathway introduces small insertions/deletions that disrupt prekallikrein production.</w:t>
      </w:r>
      <w:r>
        <w:rPr>
          <w:vertAlign w:val="superscript"/>
        </w:rPr>
        <w:t xml:space="preserve">2</w:t>
      </w:r>
    </w:p>
    <w:p>
      <w:pPr>
        <w:spacing w:after="120"/>
      </w:pPr>
      <w:r>
        <w:rPr>
          <w:b/>
          <w:bCs/>
        </w:rPr>
        <w:t xml:space="preserve">Rationale for durability. </w:t>
      </w:r>
      <w:r>
        <w:t xml:space="preserve">Lonvo-z is designed as a one-time treatment intended to provide durable control of attacks after a single dose; preclinical data indicate that the gene edits are passed to daughter cells during hepatocyte division, which is the basis for the potential for a durable effect. Whether the effect is lifelong has not been established and is being assessed in ongoing follow-up.</w:t>
      </w:r>
      <w:r>
        <w:rPr>
          <w:vertAlign w:val="superscript"/>
        </w:rPr>
        <w:t xml:space="preserve">2</w:t>
      </w:r>
    </w:p>
    <w:p>
      <w:pPr>
        <w:pStyle w:val="Heading2"/>
        <w:spacing w:after="100" w:before="240"/>
      </w:pPr>
      <w:r>
        <w:t xml:space="preserve">Duration of Available Follow-Up Data</w:t>
      </w:r>
    </w:p>
    <w:p>
      <w:pPr>
        <w:spacing w:after="120"/>
      </w:pPr>
      <w:r>
        <w:rPr>
          <w:b/>
          <w:bCs/>
        </w:rPr>
        <w:t xml:space="preserve">Phase 3 HAELO (controlled). </w:t>
      </w:r>
      <w:r>
        <w:t xml:space="preserve">Median follow-up was 7.5 months (range, 4.9 to 12.8) as of the 10 February 2026 data cutoff; the primary endpoint was assessed from Week 5 through Week 28.</w:t>
      </w:r>
      <w:r>
        <w:rPr>
          <w:vertAlign w:val="superscript"/>
        </w:rPr>
        <w:t xml:space="preserve">1</w:t>
      </w:r>
    </w:p>
    <w:p>
      <w:pPr>
        <w:spacing w:after="120"/>
      </w:pPr>
      <w:r>
        <w:rPr>
          <w:b/>
          <w:bCs/>
        </w:rPr>
        <w:t xml:space="preserve">Phase 1 (longest peer-reviewed follow-up). </w:t>
      </w:r>
      <w:r>
        <w:t xml:space="preserve">As of the 12 February 2024 data cutoff, the 10 patients treated in the Phase 1 dose-escalation portion had a median follow-up of 20.1 months, with pharmacodynamic and clinical responses that were durable and ongoing and no unexpected safety events; patients remained attack-free since the end of the primary observation period, and none who had discontinued long-term prophylaxis had resumed it.</w:t>
      </w:r>
      <w:r>
        <w:rPr>
          <w:vertAlign w:val="superscript"/>
        </w:rPr>
        <w:t xml:space="preserve">3</w:t>
      </w:r>
    </w:p>
    <w:p>
      <w:pPr>
        <w:spacing w:after="120"/>
      </w:pPr>
      <w:r>
        <w:rPr>
          <w:b/>
          <w:bCs/>
        </w:rPr>
        <w:t xml:space="preserve">Open-label 50-mg analysis (longest overall). </w:t>
      </w:r>
      <w:r>
        <w:t xml:space="preserve">Across the 28 patients who received lonvo-z 50 mg, median follow-up after the 50-mg dose was 18.9 months (range, 10.2 to 24.4) in the cohort dosed initially at 50 mg — up to approximately 2 years — as of the 12 February 2025 data cutoff (congress abstract; open-label).</w:t>
      </w:r>
      <w:r>
        <w:rPr>
          <w:vertAlign w:val="superscript"/>
        </w:rPr>
        <w:t xml:space="preserve">4</w:t>
      </w:r>
    </w:p>
    <w:p>
      <w:pPr>
        <w:pBdr>
          <w:left w:val="single" w:color="C00000" w:sz="18" w:space="12"/>
        </w:pBdr>
        <w:spacing w:after="140" w:before="60"/>
        <w:ind w:left="360"/>
      </w:pPr>
      <w:r>
        <w:rPr>
          <w:b/>
          <w:bCs/>
        </w:rPr>
        <w:t xml:space="preserve">Data gap identified: </w:t>
      </w:r>
      <w:r>
        <w:t xml:space="preserve">The lonvo-z sources available for citation report follow-up of up to approximately two years; durability beyond this period is not yet established. Longer-term follow-up (including three-year Phase 1 data described publicly) is not yet available in a citable, peer-reviewed or congress-published form and is flagged for the Medical Information team to obtain and confirm before it is conveyed.</w:t>
      </w:r>
    </w:p>
    <w:p>
      <w:pPr>
        <w:pStyle w:val="Heading2"/>
        <w:spacing w:after="100" w:before="240"/>
      </w:pPr>
      <w:r>
        <w:t xml:space="preserve">Safety and Fair-Balance Information</w:t>
      </w:r>
    </w:p>
    <w:p>
      <w:pPr>
        <w:spacing w:after="120"/>
      </w:pPr>
      <w:r>
        <w:rPr>
          <w:b/>
          <w:bCs/>
        </w:rPr>
        <w:t xml:space="preserve">Phase 3 HAELO. </w:t>
      </w:r>
      <w:r>
        <w:t xml:space="preserve">Adverse events during or after infusion were reported in 92% of lonvo-z and 86% of placebo recipients through Week 28; the most common was infusion-related reaction (62% lonvo-z vs. 18% placebo). All adverse events were Grade 1 or 2, and no serious or Grade ≥3 adverse events were reported in the lonvo-z group.</w:t>
      </w:r>
      <w:r>
        <w:rPr>
          <w:vertAlign w:val="superscript"/>
        </w:rPr>
        <w:t xml:space="preserve">1</w:t>
      </w:r>
    </w:p>
    <w:p>
      <w:pPr>
        <w:spacing w:after="120"/>
      </w:pPr>
      <w:r>
        <w:rPr>
          <w:b/>
          <w:bCs/>
        </w:rPr>
        <w:t xml:space="preserve">Context on long-term kallikrein reduction. </w:t>
      </w:r>
      <w:r>
        <w:t xml:space="preserve">Congenital plasma kallikrein (Fletcher factor) deficiency has been cited as supportive context, as affected persons are generally healthy and have a prolonged activated partial-thromboplastin time without an associated bleeding risk. However, the rarity of this deficiency and reporting bias make definitive conclusions difficult, and hypertension is the most prevalent cardiovascular condition reported in affected persons — an event that has not been reported with lonvo-z to date. These points should be presented together and not selectively.</w:t>
      </w:r>
      <w:r>
        <w:rPr>
          <w:vertAlign w:val="superscript"/>
        </w:rPr>
        <w:t xml:space="preserve">1</w:t>
      </w:r>
    </w:p>
    <w:p>
      <w:pPr>
        <w:spacing w:after="120"/>
      </w:pPr>
      <w:r>
        <w:t xml:space="preserve">Reported findings reflect the specific study populations, dose levels, and timepoints described and may not generalize to other patients or settings.</w:t>
      </w:r>
    </w:p>
    <w:p>
      <w:pPr>
        <w:pStyle w:val="Heading2"/>
        <w:spacing w:after="100" w:before="240"/>
      </w:pPr>
      <w:r>
        <w:t xml:space="preserve">References</w:t>
      </w:r>
    </w:p>
    <w:p>
      <w:pPr>
        <w:spacing w:after="60"/>
      </w:pPr>
      <w:r>
        <w:t xml:space="preserve">1. Cohn DM, Gurugama P, Longhurst HJ, et al. Lonvoguran ziclumeran — in vivo CRISPR gene editing in hereditary angioedema. N Engl J Med. 2026. DOI: 10.1056/NEJMoa2600931. (HAELO trial; NCT06634420.)</w:t>
      </w:r>
    </w:p>
    <w:p>
      <w:pPr>
        <w:spacing w:after="60"/>
      </w:pPr>
      <w:r>
        <w:t xml:space="preserve">2. Longhurst HJ, Lindsay K, Petersen RS, et al. CRISPR-Cas9 in vivo gene editing of KLKB1 for hereditary angioedema. N Engl J Med. 2024;390(5):432-441. DOI: 10.1056/NEJMoa2309149. (Phase 1; NCT05120830.)</w:t>
      </w:r>
    </w:p>
    <w:p>
      <w:pPr>
        <w:spacing w:after="60"/>
      </w:pPr>
      <w:r>
        <w:t xml:space="preserve">3. Cohn DM, Gurugama P, Magerl M, et al. CRISPR-based therapy for hereditary angioedema (incl. Phase 1 update). N Engl J Med. 2024. DOI: 10.1056/NEJMoa2405734. (Phase 2 with Supplementary Appendix; NCT05120830.)</w:t>
      </w:r>
    </w:p>
    <w:p>
      <w:pPr>
        <w:spacing w:after="60"/>
      </w:pPr>
      <w:r>
        <w:t xml:space="preserve">4. Magerl M, Gurugama P, Katelaris C, et al. Long-term durability and safety of lonvoguran ziclumeran (lonvo-z, NTLA-2002) 50 mg in patients with hereditary angioedema. J Allergy Clin Immunol. 2025;157(2):AB21. Abstract 061, AAAAI Annual Meeting 2025. (Congress abstract; open-label.)</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6" w:space="6"/>
      </w:pBdr>
      <w:spacing w:before="60"/>
    </w:pPr>
  </w:p>
  <w:p>
    <w:pPr>
      <w:jc w:val="center"/>
    </w:pPr>
    <w:r>
      <w:rPr>
        <w:color w:val="595959"/>
        <w:sz w:val="15"/>
        <w:szCs w:val="15"/>
      </w:rPr>
      <w:t xml:space="preserve">SRL-2026-0001 · 0.5 DRAFT · </w:t>
    </w:r>
    <w:r>
      <w:rPr>
        <w:b/>
        <w:bCs/>
        <w:color w:val="C00000"/>
        <w:sz w:val="15"/>
        <w:szCs w:val="15"/>
      </w:rPr>
      <w:t xml:space="preserve">DRAFT — NOT FOR DISTRIBUTION. Pending medical/regulatory review.</w:t>
    </w:r>
    <w:r>
      <w:rPr>
        <w:color w:val="595959"/>
        <w:sz w:val="15"/>
        <w:szCs w:val="15"/>
      </w:rPr>
      <w:t xml:space="preserve"> · 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Information Response</dc:title>
  <dc:creator>Medical Information Department</dc:creator>
  <cp:lastModifiedBy>Un-named</cp:lastModifiedBy>
  <cp:revision>1</cp:revision>
  <dcterms:created xsi:type="dcterms:W3CDTF">2026-07-17T20:22:45.736Z</dcterms:created>
  <dcterms:modified xsi:type="dcterms:W3CDTF">2026-07-17T20:22:45.759Z</dcterms:modified>
</cp:coreProperties>
</file>

<file path=docProps/custom.xml><?xml version="1.0" encoding="utf-8"?>
<Properties xmlns="http://schemas.openxmlformats.org/officeDocument/2006/custom-properties" xmlns:vt="http://schemas.openxmlformats.org/officeDocument/2006/docPropsVTypes"/>
</file>