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  <w:jc w:val="center"/>
      </w:pPr>
      <w:r>
        <w:rPr>
          <w:rFonts w:ascii="Aptos Display" w:hAnsi="Aptos Display"/>
          <w:b/>
          <w:color w:val="1F4E79"/>
          <w:sz w:val="36"/>
        </w:rPr>
        <w:t>PRAJIT GIRI</w:t>
      </w:r>
    </w:p>
    <w:p>
      <w:pPr>
        <w:widowControl/>
        <w:spacing w:after="30"/>
        <w:jc w:val="center"/>
      </w:pPr>
      <w:r>
        <w:rPr>
          <w:rFonts w:ascii="Arial" w:hAnsi="Arial"/>
          <w:sz w:val="17"/>
        </w:rPr>
        <w:t>San Antonio, TX | 857-317-9276 | prajitgiri1221@gmail.com | LinkedIn | U.S. Permanent Resident</w:t>
      </w:r>
    </w:p>
    <w:p>
      <w:pPr>
        <w:pStyle w:val="SectionHeader"/>
        <w:spacing w:before="70" w:after="24"/>
        <w:widowControl/>
        <w:pBdr>
          <w:bottom w:val="single" w:sz="8" w:space="1" w:color="1F4E79"/>
        </w:pBdr>
      </w:pPr>
      <w:r>
        <w:rPr>
          <w:rFonts w:ascii="Arial" w:hAnsi="Arial"/>
          <w:sz w:val="19"/>
        </w:rPr>
        <w:t>PROFESSIONAL SUMMARY</w:t>
      </w:r>
    </w:p>
    <w:p>
      <w:pPr>
        <w:pStyle w:val="SmallText"/>
        <w:widowControl/>
      </w:pPr>
      <w:r>
        <w:rPr>
          <w:rFonts w:ascii="Arial" w:hAnsi="Arial"/>
          <w:sz w:val="19"/>
        </w:rPr>
        <w:t>Finance and compliance professional with experience supporting partnership, federal, state, and local tax engagements at EY. Skilled in tax preparation, financial data review, Excel-based workpapers, documentation, quality control, and confidential information handling. Combines financial analysis, regulatory compliance, data analytics, and stakeholder communication experience to support accurate, timely business and public-sector decisions.</w:t>
      </w:r>
    </w:p>
    <w:p>
      <w:pPr>
        <w:pStyle w:val="SectionHeader"/>
        <w:spacing w:before="70" w:after="24"/>
        <w:widowControl/>
        <w:pBdr>
          <w:bottom w:val="single" w:sz="8" w:space="1" w:color="1F4E79"/>
        </w:pBdr>
      </w:pPr>
      <w:r>
        <w:rPr>
          <w:rFonts w:ascii="Arial" w:hAnsi="Arial"/>
          <w:sz w:val="19"/>
        </w:rPr>
        <w:t>EDUCATION &amp; CERTIFICATIONS</w:t>
      </w:r>
    </w:p>
    <w:p>
      <w:pPr>
        <w:pStyle w:val="SmallText"/>
        <w:widowControl/>
        <w:tabs>
          <w:tab w:pos="10368" w:val="right"/>
        </w:tabs>
      </w:pPr>
      <w:r>
        <w:rPr>
          <w:rFonts w:ascii="Arial" w:hAnsi="Arial"/>
          <w:b/>
          <w:sz w:val="19"/>
        </w:rPr>
        <w:t>Fisher College — B.S. in Management, Finance Concentration</w:t>
      </w:r>
      <w:r>
        <w:rPr>
          <w:rFonts w:ascii="Arial" w:hAnsi="Arial"/>
          <w:sz w:val="19"/>
        </w:rPr>
        <w:tab/>
        <w:t>May 2025</w:t>
      </w:r>
      <w:r>
        <w:rPr>
          <w:rFonts w:ascii="Arial" w:hAnsi="Arial"/>
          <w:sz w:val="19"/>
        </w:rPr>
        <w:br/>
        <w:t>GPA: 3.86 | Summa Cum Laude | Dean’s List</w:t>
      </w:r>
    </w:p>
    <w:p>
      <w:pPr>
        <w:pStyle w:val="SmallText"/>
        <w:widowControl/>
      </w:pPr>
      <w:r>
        <w:rPr>
          <w:rFonts w:ascii="Arial" w:hAnsi="Arial"/>
          <w:b/>
          <w:sz w:val="19"/>
        </w:rPr>
        <w:t xml:space="preserve">Certifications: </w:t>
      </w:r>
      <w:r>
        <w:rPr>
          <w:rFonts w:ascii="Arial" w:hAnsi="Arial"/>
          <w:sz w:val="19"/>
        </w:rPr>
        <w:t>Google Advanced Data Analytics (2025); Excel for Business, Macquarie University (2025); Financial Statement Analysis and Bookkeeping Essentials, Intuit (2025); Public Finance &amp; Economic Policy, Bard College (2024); Python for Data Science, IBM (2023)</w:t>
      </w:r>
    </w:p>
    <w:p>
      <w:pPr>
        <w:pStyle w:val="SectionHeader"/>
        <w:spacing w:before="70" w:after="24"/>
        <w:widowControl/>
        <w:pBdr>
          <w:bottom w:val="single" w:sz="8" w:space="1" w:color="1F4E79"/>
        </w:pBdr>
      </w:pPr>
      <w:r>
        <w:rPr>
          <w:rFonts w:ascii="Arial" w:hAnsi="Arial"/>
          <w:sz w:val="19"/>
        </w:rPr>
        <w:t>CORE SKILLS</w:t>
      </w:r>
    </w:p>
    <w:p>
      <w:pPr>
        <w:pStyle w:val="SmallText"/>
        <w:widowControl/>
        <w:spacing w:after="8"/>
      </w:pPr>
      <w:r>
        <w:rPr>
          <w:rFonts w:ascii="Arial" w:hAnsi="Arial"/>
          <w:sz w:val="19"/>
        </w:rPr>
        <w:t>Finance &amp; Tax: Partnership Tax, Federal/State/Local Compliance, Tax Return Preparation, Financial Statement Analysis, Bookkeeping, Financial Modeling</w:t>
        <w:br/>
        <w:t>Data &amp; Technology: Excel, Python, SQL, Tableau, Power BI, QuickBooks, Microsoft 365, Data Cleaning, Dashboarding</w:t>
        <w:br/>
        <w:t>Risk &amp; Operations: Documentation Review, Quality Control, Regulatory Compliance, Records Management, Confidential Data Handling, Process Tracking</w:t>
        <w:br/>
        <w:t>Languages: Nepali (Native), English (Professional), Hindi (Professional), Bengali (Basic)</w:t>
      </w:r>
    </w:p>
    <w:p>
      <w:pPr>
        <w:pStyle w:val="SectionHeader"/>
        <w:spacing w:before="70" w:after="24"/>
        <w:widowControl/>
        <w:pBdr>
          <w:bottom w:val="single" w:sz="8" w:space="1" w:color="1F4E79"/>
        </w:pBdr>
      </w:pPr>
      <w:r>
        <w:rPr>
          <w:rFonts w:ascii="Arial" w:hAnsi="Arial"/>
          <w:sz w:val="19"/>
        </w:rPr>
        <w:t>PROFESSIONAL EXPERIENCE</w:t>
      </w:r>
    </w:p>
    <w:p>
      <w:pPr>
        <w:pStyle w:val="JobHeader"/>
        <w:widowControl/>
        <w:tabs>
          <w:tab w:pos="10368" w:val="right"/>
        </w:tabs>
      </w:pPr>
      <w:r>
        <w:rPr>
          <w:rFonts w:ascii="Arial" w:hAnsi="Arial"/>
          <w:sz w:val="19"/>
        </w:rPr>
        <w:t>Associate Analyst</w:t>
      </w:r>
      <w:r>
        <w:rPr>
          <w:rFonts w:ascii="Arial" w:hAnsi="Arial"/>
          <w:sz w:val="19"/>
        </w:rPr>
        <w:tab/>
        <w:t>Mar 2026 – Present</w:t>
      </w:r>
    </w:p>
    <w:p>
      <w:pPr>
        <w:pStyle w:val="CompanyLine"/>
        <w:widowControl/>
        <w:tabs>
          <w:tab w:pos="10368" w:val="right"/>
        </w:tabs>
      </w:pPr>
      <w:r>
        <w:rPr>
          <w:rFonts w:ascii="Arial" w:hAnsi="Arial"/>
          <w:sz w:val="19"/>
        </w:rPr>
        <w:t>EY, Global Compliance &amp; Reporting (GCR)</w:t>
      </w:r>
      <w:r>
        <w:rPr>
          <w:rFonts w:ascii="Arial" w:hAnsi="Arial"/>
          <w:sz w:val="19"/>
        </w:rPr>
        <w:tab/>
        <w:t>San Antonio, TX | Hybrid</w:t>
      </w:r>
    </w:p>
    <w:p>
      <w:pPr>
        <w:pStyle w:val="SmallText"/>
        <w:widowControl/>
        <w:spacing w:after="8"/>
        <w:ind w:left="230" w:hanging="173"/>
      </w:pPr>
      <w:r>
        <w:rPr>
          <w:rFonts w:ascii="Arial" w:hAnsi="Arial"/>
          <w:sz w:val="19"/>
        </w:rPr>
        <w:t>• Completed 400 tax compliance deliverables within three months, including partnership tax returns, document extraction assignments, and electronic filings.</w:t>
      </w:r>
    </w:p>
    <w:p>
      <w:pPr>
        <w:pStyle w:val="SmallText"/>
        <w:widowControl/>
        <w:spacing w:after="8"/>
        <w:ind w:left="230" w:hanging="173"/>
      </w:pPr>
      <w:r>
        <w:rPr>
          <w:rFonts w:ascii="Arial" w:hAnsi="Arial"/>
          <w:sz w:val="19"/>
        </w:rPr>
        <w:t>• Prepare Excel-based tax workpapers and organize source financial documents for federal, state, and local partnership filings, including Form 1065 and Schedules K-1 and K-3.</w:t>
      </w:r>
    </w:p>
    <w:p>
      <w:pPr>
        <w:pStyle w:val="SmallText"/>
        <w:widowControl/>
        <w:spacing w:after="8"/>
        <w:ind w:left="230" w:hanging="173"/>
      </w:pPr>
      <w:r>
        <w:rPr>
          <w:rFonts w:ascii="Arial" w:hAnsi="Arial"/>
          <w:sz w:val="19"/>
        </w:rPr>
        <w:t>• Review extracted financial and tax data for completeness, consistency, and accuracy; identify missing information and escalate discrepancies to senior engagement team members.</w:t>
      </w:r>
    </w:p>
    <w:p>
      <w:pPr>
        <w:pStyle w:val="SmallText"/>
        <w:widowControl/>
        <w:spacing w:after="8"/>
        <w:ind w:left="230" w:hanging="173"/>
      </w:pPr>
      <w:r>
        <w:rPr>
          <w:rFonts w:ascii="Arial" w:hAnsi="Arial"/>
          <w:sz w:val="19"/>
        </w:rPr>
        <w:t>• Manage multiple assignments and filing deadlines while maintaining clear documentation and protecting confidential client and taxpayer information.</w:t>
      </w:r>
    </w:p>
    <w:p>
      <w:pPr>
        <w:pStyle w:val="SmallText"/>
        <w:widowControl/>
        <w:spacing w:after="8"/>
        <w:ind w:left="230" w:hanging="173"/>
      </w:pPr>
      <w:r>
        <w:rPr>
          <w:rFonts w:ascii="Arial" w:hAnsi="Arial"/>
          <w:sz w:val="19"/>
        </w:rPr>
        <w:t>• Collaborate with engagement teams through standardized preparation, review, and e-filing workflows in a quality-controlled compliance environment.</w:t>
      </w:r>
    </w:p>
    <w:p>
      <w:pPr>
        <w:pStyle w:val="JobHeader"/>
        <w:widowControl/>
        <w:tabs>
          <w:tab w:pos="10368" w:val="right"/>
        </w:tabs>
      </w:pPr>
      <w:r>
        <w:rPr>
          <w:rFonts w:ascii="Arial" w:hAnsi="Arial"/>
          <w:sz w:val="19"/>
        </w:rPr>
        <w:t>Teacher</w:t>
      </w:r>
      <w:r>
        <w:rPr>
          <w:rFonts w:ascii="Arial" w:hAnsi="Arial"/>
          <w:sz w:val="19"/>
        </w:rPr>
        <w:tab/>
        <w:t>Jul 2025 – Nov 2025</w:t>
      </w:r>
    </w:p>
    <w:p>
      <w:pPr>
        <w:pStyle w:val="CompanyLine"/>
        <w:widowControl/>
        <w:tabs>
          <w:tab w:pos="10368" w:val="right"/>
        </w:tabs>
      </w:pPr>
      <w:r>
        <w:rPr>
          <w:rFonts w:ascii="Arial" w:hAnsi="Arial"/>
          <w:sz w:val="19"/>
        </w:rPr>
        <w:t>IDEA Public Schools</w:t>
      </w:r>
      <w:r>
        <w:rPr>
          <w:rFonts w:ascii="Arial" w:hAnsi="Arial"/>
          <w:sz w:val="19"/>
        </w:rPr>
        <w:tab/>
        <w:t>San Antonio, TX</w:t>
      </w:r>
    </w:p>
    <w:p>
      <w:pPr>
        <w:pStyle w:val="SmallText"/>
        <w:widowControl/>
        <w:spacing w:after="8"/>
        <w:ind w:left="230" w:hanging="173"/>
      </w:pPr>
      <w:r>
        <w:rPr>
          <w:rFonts w:ascii="Arial" w:hAnsi="Arial"/>
          <w:b/>
          <w:sz w:val="19"/>
        </w:rPr>
        <w:t xml:space="preserve">• </w:t>
      </w:r>
      <w:r>
        <w:rPr>
          <w:rFonts w:ascii="Arial" w:hAnsi="Arial"/>
          <w:sz w:val="19"/>
        </w:rPr>
        <w:t>Built and maintained Excel-based student performance trackers, reviewed trends and exceptions, and used results to prioritize instructional support.</w:t>
      </w:r>
    </w:p>
    <w:p>
      <w:pPr>
        <w:pStyle w:val="SmallText"/>
        <w:widowControl/>
        <w:spacing w:after="8"/>
        <w:ind w:left="230" w:hanging="173"/>
      </w:pPr>
      <w:r>
        <w:rPr>
          <w:rFonts w:ascii="Arial" w:hAnsi="Arial"/>
          <w:b/>
          <w:sz w:val="19"/>
        </w:rPr>
        <w:t xml:space="preserve">• </w:t>
      </w:r>
      <w:r>
        <w:rPr>
          <w:rFonts w:ascii="Arial" w:hAnsi="Arial"/>
          <w:sz w:val="19"/>
        </w:rPr>
        <w:t>Explained quantitative concepts to diverse audiences and managed documentation, deadlines, and stakeholder communication in a fast-paced environment.</w:t>
      </w:r>
    </w:p>
    <w:p>
      <w:pPr>
        <w:pStyle w:val="JobHeader"/>
        <w:widowControl/>
        <w:tabs>
          <w:tab w:pos="10368" w:val="right"/>
        </w:tabs>
      </w:pPr>
      <w:r>
        <w:rPr>
          <w:rFonts w:ascii="Arial" w:hAnsi="Arial"/>
          <w:sz w:val="19"/>
        </w:rPr>
        <w:t>Public Safety Dispatcher</w:t>
      </w:r>
      <w:r>
        <w:rPr>
          <w:rFonts w:ascii="Arial" w:hAnsi="Arial"/>
          <w:sz w:val="19"/>
        </w:rPr>
        <w:tab/>
        <w:t>Feb 2024 – May 2025</w:t>
      </w:r>
    </w:p>
    <w:p>
      <w:pPr>
        <w:pStyle w:val="CompanyLine"/>
        <w:widowControl/>
        <w:tabs>
          <w:tab w:pos="10368" w:val="right"/>
        </w:tabs>
      </w:pPr>
      <w:r>
        <w:rPr>
          <w:rFonts w:ascii="Arial" w:hAnsi="Arial"/>
          <w:sz w:val="19"/>
        </w:rPr>
        <w:t>Securitas Security Services USA</w:t>
      </w:r>
      <w:r>
        <w:rPr>
          <w:rFonts w:ascii="Arial" w:hAnsi="Arial"/>
          <w:sz w:val="19"/>
        </w:rPr>
        <w:tab/>
        <w:t>Boston, MA</w:t>
      </w:r>
    </w:p>
    <w:p>
      <w:pPr>
        <w:pStyle w:val="SmallText"/>
        <w:widowControl/>
        <w:spacing w:after="8"/>
        <w:ind w:left="230" w:hanging="173"/>
      </w:pPr>
      <w:r>
        <w:rPr>
          <w:rFonts w:ascii="Arial" w:hAnsi="Arial"/>
          <w:b/>
          <w:sz w:val="19"/>
        </w:rPr>
        <w:t xml:space="preserve">• </w:t>
      </w:r>
      <w:r>
        <w:rPr>
          <w:rFonts w:ascii="Arial" w:hAnsi="Arial"/>
          <w:sz w:val="19"/>
        </w:rPr>
        <w:t>Monitored access-control, alarm, radio, and CCTV systems; documented incidents and escalated time-sensitive issues according to established procedures.</w:t>
      </w:r>
    </w:p>
    <w:p>
      <w:pPr>
        <w:pStyle w:val="SmallText"/>
        <w:widowControl/>
        <w:spacing w:after="8"/>
        <w:ind w:left="230" w:hanging="173"/>
      </w:pPr>
      <w:r>
        <w:rPr>
          <w:rFonts w:ascii="Arial" w:hAnsi="Arial"/>
          <w:b/>
          <w:sz w:val="19"/>
        </w:rPr>
        <w:t xml:space="preserve">• </w:t>
      </w:r>
      <w:r>
        <w:rPr>
          <w:rFonts w:ascii="Arial" w:hAnsi="Arial"/>
          <w:sz w:val="19"/>
        </w:rPr>
        <w:t>Verified identities, maintained confidential logs, and produced accurate incident records supporting compliance, safety, and operational decision-making.</w:t>
      </w:r>
    </w:p>
    <w:p>
      <w:pPr>
        <w:pStyle w:val="SectionHeader"/>
        <w:spacing w:before="70" w:after="24"/>
        <w:widowControl/>
        <w:pBdr>
          <w:bottom w:val="single" w:sz="8" w:space="1" w:color="1F4E79"/>
        </w:pBdr>
      </w:pPr>
      <w:r>
        <w:rPr>
          <w:rFonts w:ascii="Arial" w:hAnsi="Arial"/>
          <w:sz w:val="19"/>
        </w:rPr>
        <w:t>SELECTED PROJECTS</w:t>
      </w:r>
    </w:p>
    <w:p>
      <w:pPr>
        <w:pStyle w:val="SmallText"/>
        <w:widowControl/>
        <w:spacing w:after="8"/>
        <w:ind w:left="230" w:hanging="173"/>
      </w:pPr>
      <w:r>
        <w:rPr>
          <w:rFonts w:ascii="Arial" w:hAnsi="Arial"/>
          <w:sz w:val="19"/>
        </w:rPr>
        <w:t>• Community Lending &amp; Economic Access Risk Model: Built a synthetic 500-applicant lending portfolio using income, debt, credit score, collateral, employment, and loan-term variables to evaluate borrower risk and access patterns.</w:t>
      </w:r>
    </w:p>
    <w:p>
      <w:pPr>
        <w:pStyle w:val="SmallText"/>
        <w:widowControl/>
        <w:spacing w:after="8"/>
        <w:ind w:left="230" w:hanging="173"/>
      </w:pPr>
      <w:r>
        <w:rPr>
          <w:rFonts w:ascii="Arial" w:hAnsi="Arial"/>
          <w:sz w:val="19"/>
        </w:rPr>
        <w:t>• Public Financial Oversight &amp; Fraud Detection System: Analyzed 1,000 synthetic transactions in Python using rule-based anomaly indicators across amount, geography, channel, merchant, timing, and transaction status.</w:t>
      </w:r>
    </w:p>
    <w:p>
      <w:pPr>
        <w:pStyle w:val="SmallText"/>
        <w:widowControl/>
        <w:spacing w:after="8"/>
        <w:ind w:left="230" w:hanging="173"/>
      </w:pPr>
      <w:r>
        <w:rPr>
          <w:rFonts w:ascii="Arial" w:hAnsi="Arial"/>
          <w:sz w:val="19"/>
        </w:rPr>
        <w:t>• San Antonio Civic Data Dashboard: Analyzed housing, transportation, and community indicators and presented findings through an interactive dashboard for clearer trend comparison.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er">
    <w:name w:val="SectionHeader"/>
    <w:pPr>
      <w:spacing w:after="0" w:line="240" w:lineRule="auto"/>
    </w:pPr>
    <w:rPr>
      <w:rFonts w:ascii="Aptos" w:hAnsi="Aptos"/>
      <w:b/>
      <w:color w:val="1F4E79"/>
      <w:sz w:val="19"/>
    </w:rPr>
  </w:style>
  <w:style w:type="paragraph" w:customStyle="1" w:styleId="JobHeader">
    <w:name w:val="JobHeader"/>
    <w:pPr>
      <w:spacing w:after="0" w:line="240" w:lineRule="auto"/>
    </w:pPr>
    <w:rPr>
      <w:rFonts w:ascii="Aptos" w:hAnsi="Aptos"/>
      <w:b/>
      <w:color w:val="000000"/>
      <w:sz w:val="18"/>
    </w:rPr>
  </w:style>
  <w:style w:type="paragraph" w:customStyle="1" w:styleId="CompanyLine">
    <w:name w:val="CompanyLine"/>
    <w:pPr>
      <w:spacing w:after="0" w:line="240" w:lineRule="auto"/>
    </w:pPr>
    <w:rPr>
      <w:rFonts w:ascii="Aptos" w:hAnsi="Aptos"/>
      <w:b w:val="0"/>
      <w:color w:val="464646"/>
      <w:sz w:val="18"/>
    </w:rPr>
  </w:style>
  <w:style w:type="paragraph" w:customStyle="1" w:styleId="SmallText">
    <w:name w:val="SmallText"/>
    <w:pPr>
      <w:spacing w:after="0" w:line="240" w:lineRule="auto"/>
    </w:pPr>
    <w:rPr>
      <w:rFonts w:ascii="Aptos" w:hAnsi="Aptos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Prajit Giri Resume</dc:title>
  <dc:subject>Finance, Consulting, and Government Resume</dc:subject>
  <dc:creator>Prajit Giri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