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p>
    <w:p>
      <w:pPr>
        <w:spacing w:after="80"/>
        <w:jc w:val="center"/>
      </w:pPr>
      <w:r>
        <w:rPr>
          <w:rFonts w:ascii="Times New Roman" w:hAnsi="Times New Roman"/>
          <w:b/>
          <w:color w:val="1F4E78"/>
          <w:sz w:val="31"/>
        </w:rPr>
        <w:t>HIGHER EDUCATION STUDENTS' PERFORMANCE EVALUATION:</w:t>
      </w:r>
    </w:p>
    <w:p>
      <w:pPr>
        <w:spacing w:after="400"/>
        <w:jc w:val="center"/>
      </w:pPr>
      <w:r>
        <w:rPr>
          <w:rFonts w:ascii="Times New Roman" w:hAnsi="Times New Roman"/>
          <w:b/>
          <w:color w:val="1F4E78"/>
          <w:sz w:val="26"/>
        </w:rPr>
        <w:t>A COMPREHENSIVE CASE STUDY IN EXPLORATORY DATA ANALYSIS, STATISTICAL INFERENCE, AND DEEP LEARNING ARCHITECTURES</w:t>
      </w:r>
    </w:p>
    <w:p>
      <w:pPr>
        <w:spacing w:after="480"/>
        <w:jc w:val="center"/>
      </w:pPr>
      <w:r>
        <w:rPr>
          <w:rFonts w:ascii="Times New Roman" w:hAnsi="Times New Roman"/>
          <w:i/>
          <w:color w:val="1F4E78"/>
          <w:sz w:val="21"/>
        </w:rPr>
        <w:t>A Case Study Technical Report submitted in fulfillment of the course assessment for</w:t>
        <w:br/>
      </w:r>
      <w:r>
        <w:rPr>
          <w:rFonts w:ascii="Times New Roman" w:hAnsi="Times New Roman"/>
          <w:b/>
          <w:color w:val="1F4E78"/>
          <w:sz w:val="22"/>
        </w:rPr>
        <w:t>U21ADPO5 - EXPLORATORY DATA ANALYSIS AND VISUALIZATION</w:t>
      </w:r>
    </w:p>
    <w:p>
      <w:pPr>
        <w:spacing w:after="80"/>
        <w:jc w:val="center"/>
      </w:pPr>
      <w:r>
        <w:drawing>
          <wp:inline xmlns:a="http://schemas.openxmlformats.org/drawingml/2006/main" xmlns:pic="http://schemas.openxmlformats.org/drawingml/2006/picture">
            <wp:extent cx="2011680" cy="1297577"/>
            <wp:docPr id="1" name="Picture 1"/>
            <wp:cNvGraphicFramePr>
              <a:graphicFrameLocks noChangeAspect="1"/>
            </wp:cNvGraphicFramePr>
            <a:graphic>
              <a:graphicData uri="http://schemas.openxmlformats.org/drawingml/2006/picture">
                <pic:pic>
                  <pic:nvPicPr>
                    <pic:cNvPr id="0" name="kpr_logo.png"/>
                    <pic:cNvPicPr/>
                  </pic:nvPicPr>
                  <pic:blipFill>
                    <a:blip r:embed="rId10"/>
                    <a:stretch>
                      <a:fillRect/>
                    </a:stretch>
                  </pic:blipFill>
                  <pic:spPr>
                    <a:xfrm>
                      <a:off x="0" y="0"/>
                      <a:ext cx="2011680" cy="1297577"/>
                    </a:xfrm>
                    <a:prstGeom prst="rect"/>
                  </pic:spPr>
                </pic:pic>
              </a:graphicData>
            </a:graphic>
          </wp:inline>
        </w:drawing>
      </w:r>
    </w:p>
    <w:p>
      <w:pPr>
        <w:spacing w:after="560"/>
        <w:jc w:val="center"/>
      </w:pPr>
      <w:r>
        <w:rPr>
          <w:rFonts w:ascii="Times New Roman" w:hAnsi="Times New Roman"/>
          <w:color w:val="000000"/>
          <w:sz w:val="20"/>
        </w:rPr>
        <w:t>Avinashi Road, Arasur, Coimbatore.</w:t>
      </w:r>
    </w:p>
    <w:p>
      <w:pPr>
        <w:spacing w:before="320" w:after="40" w:line="276" w:lineRule="auto"/>
      </w:pPr>
      <w:r>
        <w:rPr>
          <w:rFonts w:ascii="Times New Roman" w:hAnsi="Times New Roman"/>
          <w:b/>
          <w:sz w:val="19"/>
        </w:rPr>
        <w:t xml:space="preserve">Candidate: </w:t>
      </w:r>
      <w:r>
        <w:rPr>
          <w:rFonts w:ascii="Times New Roman" w:hAnsi="Times New Roman"/>
          <w:sz w:val="19"/>
        </w:rPr>
        <w:t>Prajith Sabarish D (24AD079)  |  Department of Artificial Intelligence &amp; Data Science</w:t>
        <w:br/>
      </w:r>
      <w:r>
        <w:rPr>
          <w:rFonts w:ascii="Times New Roman" w:hAnsi="Times New Roman"/>
          <w:b/>
          <w:sz w:val="19"/>
        </w:rPr>
        <w:t xml:space="preserve">GitHub Repository: </w:t>
      </w:r>
      <w:r>
        <w:rPr>
          <w:rFonts w:ascii="Times New Roman" w:hAnsi="Times New Roman"/>
          <w:sz w:val="19"/>
        </w:rPr>
        <w:t>https://github.com/PrajithSabarish/Higher-Education-Students-Performance-Evaluation</w:t>
        <w:br/>
      </w:r>
      <w:r>
        <w:rPr>
          <w:rFonts w:ascii="Times New Roman" w:hAnsi="Times New Roman"/>
          <w:b/>
          <w:sz w:val="19"/>
        </w:rPr>
        <w:t xml:space="preserve">Dataset Benchmark URL: </w:t>
      </w:r>
      <w:r>
        <w:rPr>
          <w:rFonts w:ascii="Times New Roman" w:hAnsi="Times New Roman"/>
          <w:sz w:val="19"/>
        </w:rPr>
        <w:t>https://archive.ics.uci.edu/dataset/582/higher+education+students+performance+evaluation</w:t>
      </w:r>
    </w:p>
    <w:p>
      <w:pPr>
        <w:spacing w:before="560"/>
        <w:jc w:val="center"/>
      </w:pPr>
      <w:r>
        <w:rPr>
          <w:rFonts w:ascii="Times New Roman" w:hAnsi="Times New Roman"/>
          <w:b/>
          <w:color w:val="000000"/>
          <w:sz w:val="21"/>
        </w:rPr>
        <w:t>OCTOBER 2026</w:t>
      </w:r>
    </w:p>
    <w:p>
      <w:r>
        <w:br w:type="page"/>
      </w:r>
    </w:p>
    <w:p>
      <w:pPr>
        <w:spacing w:before="280" w:after="160"/>
        <w:jc w:val="center"/>
      </w:pPr>
      <w:r>
        <w:rPr>
          <w:rFonts w:ascii="Times New Roman" w:hAnsi="Times New Roman"/>
          <w:b/>
          <w:color w:val="1F4E78"/>
          <w:sz w:val="24"/>
        </w:rPr>
        <w:t>ABSTRACT</w:t>
      </w:r>
    </w:p>
    <w:p>
      <w:pPr>
        <w:spacing w:after="160" w:line="276" w:lineRule="auto"/>
        <w:jc w:val="both"/>
      </w:pPr>
      <w:r>
        <w:rPr>
          <w:rFonts w:ascii="Times New Roman" w:hAnsi="Times New Roman"/>
          <w:sz w:val="20"/>
        </w:rPr>
        <w:t>Accurate early prediction of student academic attainment is essential for timely pedagogical intervention, personalized learning support, and institutional retention in higher education analytics. This case study investigates an end-to-end predictive modeling and visualization pipeline on the UCI Higher Education Students' Performance Evaluation benchmark dataset (145 students across 33 demographic, socioeconomic, and behavioral attributes). Through parametric and discrete distribution modeling (Binomial cohort analysis and Gaussian normality diagnostics), non-parametric association testing (Spearman rank correlation and Cramer's V), and Ben Fry's seven stages of data visualization, the behavioral feature space is systematically explored and synthesized into four domain-engineered composite indices: Study Engagement, Class Behaviour, Family Education, and Aspiration Gap. Benchmarking five modeling paradigms demonstrates that a Regularized Deep Multi-Layer Perceptron (MLP) with Batch Normalization and Dropout achieves a 5-fold cross-validated accuracy of 68.3% ± 5.2% and a Macro-F1 score of 0.654 ± 0.058 on the 3-class academic risk classification task (Low, Medium, High), outperforming baseline Logistic Regression (64.8%) and Random Forest (66.2%). Dual-perspective feature importance demonstrates that student cumulative grade history (Prior GPA) and weekly study duration represent the decisive predictive drivers of academic success. All visual, tabular, and model artifacts are verified under strict zero-leakage standards.</w:t>
      </w:r>
    </w:p>
    <w:p>
      <w:pPr>
        <w:spacing w:before="80" w:after="160"/>
        <w:jc w:val="both"/>
      </w:pPr>
      <w:r>
        <w:rPr>
          <w:rFonts w:ascii="Times New Roman" w:hAnsi="Times New Roman"/>
          <w:b/>
          <w:sz w:val="20"/>
        </w:rPr>
        <w:t xml:space="preserve">Keywords: </w:t>
      </w:r>
      <w:r>
        <w:rPr>
          <w:rFonts w:ascii="Times New Roman" w:hAnsi="Times New Roman"/>
          <w:sz w:val="20"/>
        </w:rPr>
        <w:t>Exploratory Data Analysis, Higher Education Analytics, Student Performance Prediction, Tabular Deep Learning, Multi-Layer Perceptron, Ben Fry Visualization Stages, Ordinal Evaluation.</w:t>
      </w:r>
    </w:p>
    <w:p>
      <w:r>
        <w:br w:type="page"/>
      </w:r>
    </w:p>
    <w:p>
      <w:pPr>
        <w:spacing w:before="160" w:after="80"/>
        <w:jc w:val="left"/>
      </w:pPr>
      <w:r>
        <w:rPr>
          <w:rFonts w:ascii="Times New Roman" w:hAnsi="Times New Roman"/>
          <w:b/>
          <w:color w:val="1F4E78"/>
          <w:sz w:val="24"/>
        </w:rPr>
        <w:t>TABLE OF CONTENTS &amp; ROADMAP</w:t>
      </w:r>
    </w:p>
    <w:tbl>
      <w:tblPr>
        <w:tblStyle w:val="TableGrid"/>
        <w:tblW w:type="auto" w:w="0"/>
        <w:jc w:val="center"/>
        <w:tblLook w:firstColumn="1" w:firstRow="1" w:lastColumn="0" w:lastRow="0" w:noHBand="0" w:noVBand="1" w:val="04A0"/>
      </w:tblPr>
      <w:tblGrid>
        <w:gridCol w:w="5112"/>
        <w:gridCol w:w="5112"/>
      </w:tblGrid>
      <w:tr>
        <w:tc>
          <w:tcPr>
            <w:tcW w:type="dxa" w:w="9216"/>
            <w:tcBorders>
              <w:top w:val="single" w:sz="4" w:space="0" w:color="1F4E78"/>
              <w:left w:val="none"/>
              <w:bottom w:val="single" w:sz="4" w:space="0" w:color="1F4E78"/>
              <w:right w:val="none"/>
            </w:tcBorders>
            <w:shd w:fill="1F4E78"/>
            <w:tcMar>
              <w:top w:w="18" w:type="dxa"/>
              <w:bottom w:w="18" w:type="dxa"/>
              <w:left w:w="50" w:type="dxa"/>
              <w:right w:w="50" w:type="dxa"/>
            </w:tcMar>
          </w:tcPr>
          <w:p>
            <w:pPr>
              <w:spacing w:before="0" w:after="0"/>
            </w:pPr>
            <w:r>
              <w:rPr>
                <w:rFonts w:ascii="Times New Roman" w:hAnsi="Times New Roman"/>
                <w:b/>
                <w:color w:val="FFFFFF"/>
                <w:sz w:val="17"/>
              </w:rPr>
              <w:t>1. INTRODUCTION &amp; OBJECTIVES</w:t>
            </w:r>
          </w:p>
        </w:tc>
        <w:tc>
          <w:tcPr>
            <w:tcW w:type="dxa" w:w="1008"/>
            <w:tcBorders>
              <w:top w:val="single" w:sz="4" w:space="0" w:color="1F4E78"/>
              <w:left w:val="none"/>
              <w:bottom w:val="single" w:sz="4" w:space="0" w:color="1F4E78"/>
              <w:right w:val="none"/>
            </w:tcBorders>
            <w:shd w:fill="1F4E78"/>
            <w:tcMar>
              <w:top w:w="18" w:type="dxa"/>
              <w:bottom w:w="18" w:type="dxa"/>
              <w:left w:w="50" w:type="dxa"/>
              <w:right w:w="50" w:type="dxa"/>
            </w:tcMar>
          </w:tcPr>
          <w:p>
            <w:pPr>
              <w:spacing w:before="0" w:after="0"/>
              <w:jc w:val="right"/>
            </w:pPr>
            <w:r>
              <w:rPr>
                <w:rFonts w:ascii="Times New Roman" w:hAnsi="Times New Roman"/>
                <w:b/>
                <w:color w:val="FFFFFF"/>
                <w:sz w:val="17"/>
              </w:rPr>
              <w:t>4</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1.1 Context and Operational Motivation</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4</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1.2 Problem Statement &amp; Mathematical Formulation</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4</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1.3 Project Objectives (Targeting CO3, CO4, CO5)</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4</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1.4 Summary of Technical Contributions</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5</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1.5 Report Organization &amp; Roadmap</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5</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1.6 Literature Review (5 Sources)</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5</w:t>
            </w:r>
          </w:p>
        </w:tc>
      </w:tr>
      <w:tr>
        <w:tc>
          <w:tcPr>
            <w:tcW w:type="dxa" w:w="9216"/>
            <w:tcBorders>
              <w:top w:val="single" w:sz="4" w:space="0" w:color="1F4E78"/>
              <w:left w:val="none"/>
              <w:bottom w:val="single" w:sz="4" w:space="0" w:color="1F4E78"/>
              <w:right w:val="none"/>
            </w:tcBorders>
            <w:shd w:fill="1F4E78"/>
            <w:tcMar>
              <w:top w:w="18" w:type="dxa"/>
              <w:bottom w:w="18" w:type="dxa"/>
              <w:left w:w="50" w:type="dxa"/>
              <w:right w:w="50" w:type="dxa"/>
            </w:tcMar>
          </w:tcPr>
          <w:p>
            <w:pPr>
              <w:spacing w:before="0" w:after="0"/>
            </w:pPr>
            <w:r>
              <w:rPr>
                <w:rFonts w:ascii="Times New Roman" w:hAnsi="Times New Roman"/>
                <w:b/>
                <w:color w:val="FFFFFF"/>
                <w:sz w:val="17"/>
              </w:rPr>
              <w:t>2. DATASET DESCRIPTION &amp; FEATURE ENGINEERING</w:t>
            </w:r>
          </w:p>
        </w:tc>
        <w:tc>
          <w:tcPr>
            <w:tcW w:type="dxa" w:w="1008"/>
            <w:tcBorders>
              <w:top w:val="single" w:sz="4" w:space="0" w:color="1F4E78"/>
              <w:left w:val="none"/>
              <w:bottom w:val="single" w:sz="4" w:space="0" w:color="1F4E78"/>
              <w:right w:val="none"/>
            </w:tcBorders>
            <w:shd w:fill="1F4E78"/>
            <w:tcMar>
              <w:top w:w="18" w:type="dxa"/>
              <w:bottom w:w="18" w:type="dxa"/>
              <w:left w:w="50" w:type="dxa"/>
              <w:right w:w="50" w:type="dxa"/>
            </w:tcMar>
          </w:tcPr>
          <w:p>
            <w:pPr>
              <w:spacing w:before="0" w:after="0"/>
              <w:jc w:val="right"/>
            </w:pPr>
            <w:r>
              <w:rPr>
                <w:rFonts w:ascii="Times New Roman" w:hAnsi="Times New Roman"/>
                <w:b/>
                <w:color w:val="FFFFFF"/>
                <w:sz w:val="17"/>
              </w:rPr>
              <w:t>6</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2.1 Source and Collection Context</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6</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2.2 Dataset Dimensions &amp; Memory Footprint</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6</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2.3 Feature Dictionary (Table 3)</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7</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2.4 Summary Statistics for Academic Cohort (Table 5)</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7</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2.5 Target Variable Distribution (GRADE)</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8</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2.6 Grade_Group Target Tier Definition (Table 4)</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8</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2.7 Complete Engineered Feature Space (Table 7)</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9</w:t>
            </w:r>
          </w:p>
        </w:tc>
      </w:tr>
      <w:tr>
        <w:tc>
          <w:tcPr>
            <w:tcW w:type="dxa" w:w="9216"/>
            <w:tcBorders>
              <w:top w:val="single" w:sz="4" w:space="0" w:color="1F4E78"/>
              <w:left w:val="none"/>
              <w:bottom w:val="single" w:sz="4" w:space="0" w:color="1F4E78"/>
              <w:right w:val="none"/>
            </w:tcBorders>
            <w:shd w:fill="1F4E78"/>
            <w:tcMar>
              <w:top w:w="18" w:type="dxa"/>
              <w:bottom w:w="18" w:type="dxa"/>
              <w:left w:w="50" w:type="dxa"/>
              <w:right w:w="50" w:type="dxa"/>
            </w:tcMar>
          </w:tcPr>
          <w:p>
            <w:pPr>
              <w:spacing w:before="0" w:after="0"/>
            </w:pPr>
            <w:r>
              <w:rPr>
                <w:rFonts w:ascii="Times New Roman" w:hAnsi="Times New Roman"/>
                <w:b/>
                <w:color w:val="FFFFFF"/>
                <w:sz w:val="17"/>
              </w:rPr>
              <w:t>3. EXPLORATORY DATA ANALYSIS &amp; PREPROCESSING DECISIONS</w:t>
            </w:r>
          </w:p>
        </w:tc>
        <w:tc>
          <w:tcPr>
            <w:tcW w:type="dxa" w:w="1008"/>
            <w:tcBorders>
              <w:top w:val="single" w:sz="4" w:space="0" w:color="1F4E78"/>
              <w:left w:val="none"/>
              <w:bottom w:val="single" w:sz="4" w:space="0" w:color="1F4E78"/>
              <w:right w:val="none"/>
            </w:tcBorders>
            <w:shd w:fill="1F4E78"/>
            <w:tcMar>
              <w:top w:w="18" w:type="dxa"/>
              <w:bottom w:w="18" w:type="dxa"/>
              <w:left w:w="50" w:type="dxa"/>
              <w:right w:w="50" w:type="dxa"/>
            </w:tcMar>
          </w:tcPr>
          <w:p>
            <w:pPr>
              <w:spacing w:before="0" w:after="0"/>
              <w:jc w:val="right"/>
            </w:pPr>
            <w:r>
              <w:rPr>
                <w:rFonts w:ascii="Times New Roman" w:hAnsi="Times New Roman"/>
                <w:b/>
                <w:color w:val="FFFFFF"/>
                <w:sz w:val="17"/>
              </w:rPr>
              <w:t>9</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3.1 Missing Value Mechanism &amp; Imputation Protocols</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9</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3.2 Outlier Treatment Justification &amp; Operational Sanity</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10</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3.3 Deduplication &amp; Physical Sanity Validations</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10</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3.4 Skewness Rectification &amp; Normalizing Transforms</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11</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3.5 Categorical Encodings &amp; Leakage Avoidance Protocols</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11</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3.6 Stratified Data Partitioning &amp; Generalisation Guarantees</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12</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3.7 Statistical Distribution Modeling &amp; Goodness-of-Fit (Table 8 &amp; 9)</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12</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3.8 Hypothesis Testing &amp; Effect Size Quantifications (Table 10)</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13</w:t>
            </w:r>
          </w:p>
        </w:tc>
      </w:tr>
      <w:tr>
        <w:tc>
          <w:tcPr>
            <w:tcW w:type="dxa" w:w="9216"/>
            <w:tcBorders>
              <w:top w:val="single" w:sz="4" w:space="0" w:color="1F4E78"/>
              <w:left w:val="none"/>
              <w:bottom w:val="single" w:sz="4" w:space="0" w:color="1F4E78"/>
              <w:right w:val="none"/>
            </w:tcBorders>
            <w:shd w:fill="1F4E78"/>
            <w:tcMar>
              <w:top w:w="18" w:type="dxa"/>
              <w:bottom w:w="18" w:type="dxa"/>
              <w:left w:w="50" w:type="dxa"/>
              <w:right w:w="50" w:type="dxa"/>
            </w:tcMar>
          </w:tcPr>
          <w:p>
            <w:pPr>
              <w:spacing w:before="0" w:after="0"/>
            </w:pPr>
            <w:r>
              <w:rPr>
                <w:rFonts w:ascii="Times New Roman" w:hAnsi="Times New Roman"/>
                <w:b/>
                <w:color w:val="FFFFFF"/>
                <w:sz w:val="17"/>
              </w:rPr>
              <w:t>4. COMPREHENSIVE DATA VISUALIZATION CATALOG (CO3 &amp; CO4)</w:t>
            </w:r>
          </w:p>
        </w:tc>
        <w:tc>
          <w:tcPr>
            <w:tcW w:type="dxa" w:w="1008"/>
            <w:tcBorders>
              <w:top w:val="single" w:sz="4" w:space="0" w:color="1F4E78"/>
              <w:left w:val="none"/>
              <w:bottom w:val="single" w:sz="4" w:space="0" w:color="1F4E78"/>
              <w:right w:val="none"/>
            </w:tcBorders>
            <w:shd w:fill="1F4E78"/>
            <w:tcMar>
              <w:top w:w="18" w:type="dxa"/>
              <w:bottom w:w="18" w:type="dxa"/>
              <w:left w:w="50" w:type="dxa"/>
              <w:right w:w="50" w:type="dxa"/>
            </w:tcMar>
          </w:tcPr>
          <w:p>
            <w:pPr>
              <w:spacing w:before="0" w:after="0"/>
              <w:jc w:val="right"/>
            </w:pPr>
            <w:r>
              <w:rPr>
                <w:rFonts w:ascii="Times New Roman" w:hAnsi="Times New Roman"/>
                <w:b/>
                <w:color w:val="FFFFFF"/>
                <w:sz w:val="17"/>
              </w:rPr>
              <w:t>13</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4.1 Ben Fry's Seven Stages of Data Visualization (Table 1)</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13</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4.2 Suitability Rationale for Selected Graphical Typologies (Table 2)</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14</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4.3 Exploratory Figure Catalog (Figures 1 to 22 &amp; Fig. R)</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14</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4.4 Interactive Visualization Architecture (Table 19)</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24</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4.5 Bivariate and Multivariate Analytical Synthesis</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24</w:t>
            </w:r>
          </w:p>
        </w:tc>
      </w:tr>
      <w:tr>
        <w:tc>
          <w:tcPr>
            <w:tcW w:type="dxa" w:w="9216"/>
            <w:tcBorders>
              <w:top w:val="single" w:sz="4" w:space="0" w:color="1F4E78"/>
              <w:left w:val="none"/>
              <w:bottom w:val="single" w:sz="4" w:space="0" w:color="1F4E78"/>
              <w:right w:val="none"/>
            </w:tcBorders>
            <w:shd w:fill="1F4E78"/>
            <w:tcMar>
              <w:top w:w="18" w:type="dxa"/>
              <w:bottom w:w="18" w:type="dxa"/>
              <w:left w:w="50" w:type="dxa"/>
              <w:right w:w="50" w:type="dxa"/>
            </w:tcMar>
          </w:tcPr>
          <w:p>
            <w:pPr>
              <w:spacing w:before="0" w:after="0"/>
            </w:pPr>
            <w:r>
              <w:rPr>
                <w:rFonts w:ascii="Times New Roman" w:hAnsi="Times New Roman"/>
                <w:b/>
                <w:color w:val="FFFFFF"/>
                <w:sz w:val="17"/>
              </w:rPr>
              <w:t>5. DEEP LEARNING MODEL &amp; BASELINE ARCHITECTURES</w:t>
            </w:r>
          </w:p>
        </w:tc>
        <w:tc>
          <w:tcPr>
            <w:tcW w:type="dxa" w:w="1008"/>
            <w:tcBorders>
              <w:top w:val="single" w:sz="4" w:space="0" w:color="1F4E78"/>
              <w:left w:val="none"/>
              <w:bottom w:val="single" w:sz="4" w:space="0" w:color="1F4E78"/>
              <w:right w:val="none"/>
            </w:tcBorders>
            <w:shd w:fill="1F4E78"/>
            <w:tcMar>
              <w:top w:w="18" w:type="dxa"/>
              <w:bottom w:w="18" w:type="dxa"/>
              <w:left w:w="50" w:type="dxa"/>
              <w:right w:w="50" w:type="dxa"/>
            </w:tcMar>
          </w:tcPr>
          <w:p>
            <w:pPr>
              <w:spacing w:before="0" w:after="0"/>
              <w:jc w:val="right"/>
            </w:pPr>
            <w:r>
              <w:rPr>
                <w:rFonts w:ascii="Times New Roman" w:hAnsi="Times New Roman"/>
                <w:b/>
                <w:color w:val="FFFFFF"/>
                <w:sz w:val="17"/>
              </w:rPr>
              <w:t>25</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5.1 Deep Learning Multi-Layer Perceptron (MLP) Architecture</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25</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5.2 Layer-by-Layer Architectural Specifications (Table 12)</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25</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5.3 Neural Training Regimen &amp; Optimization Hyperparameters</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26</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5.4 Hyperparameter Search Space and Tuning Trials (Table 14)</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26</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5.5 Comparative Baseline Paradigms</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27</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5.6 Model Selection Justification: MLP vs Tree Ensembles</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27</w:t>
            </w:r>
          </w:p>
        </w:tc>
      </w:tr>
      <w:tr>
        <w:tc>
          <w:tcPr>
            <w:tcW w:type="dxa" w:w="9216"/>
            <w:tcBorders>
              <w:top w:val="single" w:sz="4" w:space="0" w:color="1F4E78"/>
              <w:left w:val="none"/>
              <w:bottom w:val="single" w:sz="4" w:space="0" w:color="1F4E78"/>
              <w:right w:val="none"/>
            </w:tcBorders>
            <w:shd w:fill="1F4E78"/>
            <w:tcMar>
              <w:top w:w="18" w:type="dxa"/>
              <w:bottom w:w="18" w:type="dxa"/>
              <w:left w:w="50" w:type="dxa"/>
              <w:right w:w="50" w:type="dxa"/>
            </w:tcMar>
          </w:tcPr>
          <w:p>
            <w:pPr>
              <w:spacing w:before="0" w:after="0"/>
            </w:pPr>
            <w:r>
              <w:rPr>
                <w:rFonts w:ascii="Times New Roman" w:hAnsi="Times New Roman"/>
                <w:b/>
                <w:color w:val="FFFFFF"/>
                <w:sz w:val="17"/>
              </w:rPr>
              <w:t>6. RESULT VISUALIZATION &amp; PERFORMANCE INTERPRETATION (CO5)</w:t>
            </w:r>
          </w:p>
        </w:tc>
        <w:tc>
          <w:tcPr>
            <w:tcW w:type="dxa" w:w="1008"/>
            <w:tcBorders>
              <w:top w:val="single" w:sz="4" w:space="0" w:color="1F4E78"/>
              <w:left w:val="none"/>
              <w:bottom w:val="single" w:sz="4" w:space="0" w:color="1F4E78"/>
              <w:right w:val="none"/>
            </w:tcBorders>
            <w:shd w:fill="1F4E78"/>
            <w:tcMar>
              <w:top w:w="18" w:type="dxa"/>
              <w:bottom w:w="18" w:type="dxa"/>
              <w:left w:w="50" w:type="dxa"/>
              <w:right w:w="50" w:type="dxa"/>
            </w:tcMar>
          </w:tcPr>
          <w:p>
            <w:pPr>
              <w:spacing w:before="0" w:after="0"/>
              <w:jc w:val="right"/>
            </w:pPr>
            <w:r>
              <w:rPr>
                <w:rFonts w:ascii="Times New Roman" w:hAnsi="Times New Roman"/>
                <w:b/>
                <w:color w:val="FFFFFF"/>
                <w:sz w:val="17"/>
              </w:rPr>
              <w:t>28</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6.1 Multi-Metric Performance Benchmark (Table 15)</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28</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6.2 Rigorous Diagnostic Visualizations (Figures 23 to 33)</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29</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6.3 Performance Diagnosis: Feature Attribution, Error Partitioning &amp; Ablation</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34</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6.4 Honest Discussion of Overfitting, Generalisation, and Sample Limitations</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34</w:t>
            </w:r>
          </w:p>
        </w:tc>
      </w:tr>
      <w:tr>
        <w:tc>
          <w:tcPr>
            <w:tcW w:type="dxa" w:w="9216"/>
            <w:tcBorders>
              <w:top w:val="single" w:sz="4" w:space="0" w:color="1F4E78"/>
              <w:left w:val="none"/>
              <w:bottom w:val="single" w:sz="4" w:space="0" w:color="1F4E78"/>
              <w:right w:val="none"/>
            </w:tcBorders>
            <w:shd w:fill="1F4E78"/>
            <w:tcMar>
              <w:top w:w="18" w:type="dxa"/>
              <w:bottom w:w="18" w:type="dxa"/>
              <w:left w:w="50" w:type="dxa"/>
              <w:right w:w="50" w:type="dxa"/>
            </w:tcMar>
          </w:tcPr>
          <w:p>
            <w:pPr>
              <w:spacing w:before="0" w:after="0"/>
            </w:pPr>
            <w:r>
              <w:rPr>
                <w:rFonts w:ascii="Times New Roman" w:hAnsi="Times New Roman"/>
                <w:b/>
                <w:color w:val="FFFFFF"/>
                <w:sz w:val="17"/>
              </w:rPr>
              <w:t>7. CONCLUSION, PRACTICAL RECOMMENDATIONS &amp; FUTURE SCOPE</w:t>
            </w:r>
          </w:p>
        </w:tc>
        <w:tc>
          <w:tcPr>
            <w:tcW w:type="dxa" w:w="1008"/>
            <w:tcBorders>
              <w:top w:val="single" w:sz="4" w:space="0" w:color="1F4E78"/>
              <w:left w:val="none"/>
              <w:bottom w:val="single" w:sz="4" w:space="0" w:color="1F4E78"/>
              <w:right w:val="none"/>
            </w:tcBorders>
            <w:shd w:fill="1F4E78"/>
            <w:tcMar>
              <w:top w:w="18" w:type="dxa"/>
              <w:bottom w:w="18" w:type="dxa"/>
              <w:left w:w="50" w:type="dxa"/>
              <w:right w:w="50" w:type="dxa"/>
            </w:tcMar>
          </w:tcPr>
          <w:p>
            <w:pPr>
              <w:spacing w:before="0" w:after="0"/>
              <w:jc w:val="right"/>
            </w:pPr>
            <w:r>
              <w:rPr>
                <w:rFonts w:ascii="Times New Roman" w:hAnsi="Times New Roman"/>
                <w:b/>
                <w:color w:val="FFFFFF"/>
                <w:sz w:val="17"/>
              </w:rPr>
              <w:t>35</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7.1 Synthesis of Empirical Learnings</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35</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7.2 Practical Early-Warning and Academic Advising Framework (Table 18)</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35</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7.3 Operational Challenges and Technical Limitations</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36</w:t>
            </w:r>
          </w:p>
        </w:tc>
      </w:tr>
      <w:tr>
        <w:tc>
          <w:tcPr>
            <w:tcW w:type="dxa" w:w="9216"/>
            <w:tcBorders>
              <w:top w:val="single" w:sz="4" w:space="0" w:color="E2E8F0"/>
              <w:left w:val="none"/>
              <w:bottom w:val="single" w:sz="4" w:space="0" w:color="E2E8F0"/>
              <w:right w:val="none"/>
            </w:tcBorders>
            <w:tcMar>
              <w:top w:w="18" w:type="dxa"/>
              <w:bottom w:w="18" w:type="dxa"/>
              <w:left w:w="50" w:type="dxa"/>
              <w:right w:w="50" w:type="dxa"/>
            </w:tcMar>
          </w:tcPr>
          <w:p>
            <w:pPr>
              <w:spacing w:before="0" w:after="0"/>
            </w:pPr>
            <w:r>
              <w:rPr>
                <w:rFonts w:ascii="Times New Roman" w:hAnsi="Times New Roman"/>
                <w:b w:val="0"/>
                <w:color w:val="000000"/>
                <w:sz w:val="17"/>
              </w:rPr>
              <w:t xml:space="preserve">  7.4 Concrete Future Research &amp; Development Roadmap</w:t>
            </w:r>
          </w:p>
        </w:tc>
        <w:tc>
          <w:tcPr>
            <w:tcW w:type="dxa" w:w="1008"/>
            <w:tcBorders>
              <w:top w:val="single" w:sz="4" w:space="0" w:color="E2E8F0"/>
              <w:left w:val="none"/>
              <w:bottom w:val="single" w:sz="4" w:space="0" w:color="E2E8F0"/>
              <w:right w:val="none"/>
            </w:tcBorders>
            <w:tcMar>
              <w:top w:w="18" w:type="dxa"/>
              <w:bottom w:w="18" w:type="dxa"/>
              <w:left w:w="50" w:type="dxa"/>
              <w:right w:w="50" w:type="dxa"/>
            </w:tcMar>
          </w:tcPr>
          <w:p>
            <w:pPr>
              <w:spacing w:before="0" w:after="0"/>
              <w:jc w:val="right"/>
            </w:pPr>
            <w:r>
              <w:rPr>
                <w:rFonts w:ascii="Times New Roman" w:hAnsi="Times New Roman"/>
                <w:b w:val="0"/>
                <w:color w:val="000000"/>
                <w:sz w:val="17"/>
              </w:rPr>
              <w:t>36</w:t>
            </w:r>
          </w:p>
        </w:tc>
      </w:tr>
      <w:tr>
        <w:tc>
          <w:tcPr>
            <w:tcW w:type="dxa" w:w="9216"/>
            <w:tcBorders>
              <w:top w:val="single" w:sz="4" w:space="0" w:color="1F4E78"/>
              <w:left w:val="none"/>
              <w:bottom w:val="single" w:sz="4" w:space="0" w:color="1F4E78"/>
              <w:right w:val="none"/>
            </w:tcBorders>
            <w:shd w:fill="1F4E78"/>
            <w:tcMar>
              <w:top w:w="18" w:type="dxa"/>
              <w:bottom w:w="18" w:type="dxa"/>
              <w:left w:w="50" w:type="dxa"/>
              <w:right w:w="50" w:type="dxa"/>
            </w:tcMar>
          </w:tcPr>
          <w:p>
            <w:pPr>
              <w:spacing w:before="0" w:after="0"/>
            </w:pPr>
            <w:r>
              <w:rPr>
                <w:rFonts w:ascii="Times New Roman" w:hAnsi="Times New Roman"/>
                <w:b/>
                <w:color w:val="FFFFFF"/>
                <w:sz w:val="17"/>
              </w:rPr>
              <w:t>8. REFERENCES (IEEE FORMAT)</w:t>
            </w:r>
          </w:p>
        </w:tc>
        <w:tc>
          <w:tcPr>
            <w:tcW w:type="dxa" w:w="1008"/>
            <w:tcBorders>
              <w:top w:val="single" w:sz="4" w:space="0" w:color="1F4E78"/>
              <w:left w:val="none"/>
              <w:bottom w:val="single" w:sz="4" w:space="0" w:color="1F4E78"/>
              <w:right w:val="none"/>
            </w:tcBorders>
            <w:shd w:fill="1F4E78"/>
            <w:tcMar>
              <w:top w:w="18" w:type="dxa"/>
              <w:bottom w:w="18" w:type="dxa"/>
              <w:left w:w="50" w:type="dxa"/>
              <w:right w:w="50" w:type="dxa"/>
            </w:tcMar>
          </w:tcPr>
          <w:p>
            <w:pPr>
              <w:spacing w:before="0" w:after="0"/>
              <w:jc w:val="right"/>
            </w:pPr>
            <w:r>
              <w:rPr>
                <w:rFonts w:ascii="Times New Roman" w:hAnsi="Times New Roman"/>
                <w:b/>
                <w:color w:val="FFFFFF"/>
                <w:sz w:val="17"/>
              </w:rPr>
              <w:t>37</w:t>
            </w:r>
          </w:p>
        </w:tc>
      </w:tr>
      <w:tr>
        <w:tc>
          <w:tcPr>
            <w:tcW w:type="dxa" w:w="9216"/>
            <w:tcBorders>
              <w:top w:val="single" w:sz="4" w:space="0" w:color="1F4E78"/>
              <w:left w:val="none"/>
              <w:bottom w:val="single" w:sz="4" w:space="0" w:color="1F4E78"/>
              <w:right w:val="none"/>
            </w:tcBorders>
            <w:shd w:fill="1F4E78"/>
            <w:tcMar>
              <w:top w:w="18" w:type="dxa"/>
              <w:bottom w:w="18" w:type="dxa"/>
              <w:left w:w="50" w:type="dxa"/>
              <w:right w:w="50" w:type="dxa"/>
            </w:tcMar>
          </w:tcPr>
          <w:p>
            <w:pPr>
              <w:spacing w:before="0" w:after="0"/>
            </w:pPr>
            <w:r>
              <w:rPr>
                <w:rFonts w:ascii="Times New Roman" w:hAnsi="Times New Roman"/>
                <w:b/>
                <w:color w:val="FFFFFF"/>
                <w:sz w:val="17"/>
              </w:rPr>
              <w:t>9. APPENDIX: CODEBASE, REPOSITORY ARCHITECTURE &amp; README</w:t>
            </w:r>
          </w:p>
        </w:tc>
        <w:tc>
          <w:tcPr>
            <w:tcW w:type="dxa" w:w="1008"/>
            <w:tcBorders>
              <w:top w:val="single" w:sz="4" w:space="0" w:color="1F4E78"/>
              <w:left w:val="none"/>
              <w:bottom w:val="single" w:sz="4" w:space="0" w:color="1F4E78"/>
              <w:right w:val="none"/>
            </w:tcBorders>
            <w:shd w:fill="1F4E78"/>
            <w:tcMar>
              <w:top w:w="18" w:type="dxa"/>
              <w:bottom w:w="18" w:type="dxa"/>
              <w:left w:w="50" w:type="dxa"/>
              <w:right w:w="50" w:type="dxa"/>
            </w:tcMar>
          </w:tcPr>
          <w:p>
            <w:pPr>
              <w:spacing w:before="0" w:after="0"/>
              <w:jc w:val="right"/>
            </w:pPr>
            <w:r>
              <w:rPr>
                <w:rFonts w:ascii="Times New Roman" w:hAnsi="Times New Roman"/>
                <w:b/>
                <w:color w:val="FFFFFF"/>
                <w:sz w:val="17"/>
              </w:rPr>
              <w:t>37</w:t>
            </w:r>
          </w:p>
        </w:tc>
      </w:tr>
    </w:tbl>
    <w:p>
      <w:pPr>
        <w:spacing w:before="120" w:after="40"/>
      </w:pPr>
    </w:p>
    <w:p>
      <w:r>
        <w:br w:type="page"/>
      </w:r>
    </w:p>
    <w:p>
      <w:pPr>
        <w:pStyle w:val="Heading1"/>
        <w:keepNext/>
        <w:spacing w:before="180" w:after="40"/>
      </w:pPr>
      <w:r>
        <w:rPr>
          <w:rFonts w:ascii="Times New Roman" w:hAnsi="Times New Roman"/>
          <w:b/>
          <w:color w:val="1F4E78"/>
          <w:sz w:val="22"/>
        </w:rPr>
        <w:t>1. INTRODUCTION &amp; OBJECTIVES</w:t>
      </w:r>
    </w:p>
    <w:p>
      <w:pPr>
        <w:pStyle w:val="Heading2"/>
        <w:keepNext/>
        <w:spacing w:before="120" w:after="30"/>
      </w:pPr>
      <w:r>
        <w:rPr>
          <w:rFonts w:ascii="Times New Roman" w:hAnsi="Times New Roman"/>
          <w:b/>
          <w:color w:val="1F4E78"/>
          <w:sz w:val="20"/>
        </w:rPr>
        <w:t>2.1 Background and Problem Statement</w:t>
      </w:r>
    </w:p>
    <w:p>
      <w:pPr>
        <w:spacing w:before="0" w:after="36" w:line="254" w:lineRule="auto"/>
        <w:jc w:val="both"/>
      </w:pPr>
      <w:r>
        <w:rPr>
          <w:rFonts w:ascii="Times New Roman" w:hAnsi="Times New Roman"/>
          <w:b w:val="0"/>
          <w:i w:val="0"/>
          <w:color w:val="000000"/>
          <w:sz w:val="20"/>
        </w:rPr>
        <w:t>The global expansion of higher education has intensified institutional pressure to improve student retention, graduation rates, and learning outcomes. According to multiple educational data-mining studies, academic failure is rarely abrupt; rather, it develops progressively through a combination of insufficient prior preparation, disengaged study habits, and socioeconomic circumstances [1], [7]. Despite this knowledge, the majority of universities still rely on reactive academic-advising frameworks: formal academic probation is typically imposed only after end-of-semester examinations have been graded, by which point the opportunity for pedagogical intervention has passed.</w:t>
      </w:r>
    </w:p>
    <w:p>
      <w:pPr>
        <w:spacing w:before="0" w:after="36" w:line="254" w:lineRule="auto"/>
        <w:jc w:val="both"/>
      </w:pPr>
      <w:r>
        <w:rPr>
          <w:rFonts w:ascii="Times New Roman" w:hAnsi="Times New Roman"/>
          <w:b w:val="0"/>
          <w:i w:val="0"/>
          <w:color w:val="000000"/>
          <w:sz w:val="20"/>
        </w:rPr>
        <w:t>The emergence of educational data mining and learning analytics offers a transformative alternative. By systematically analysing student demographic profiles, self-reported behavioural patterns, and historical academic trajectories, institutions can build proactive early-warning systems that identify at-risk students within the first weeks of a term. Such systems enable targeted interventions---peer tutoring, study-skills workshops, faculty office-hour outreach---before irrecoverable academic damage occurs.</w:t>
      </w:r>
    </w:p>
    <w:p>
      <w:pPr>
        <w:spacing w:before="0" w:after="36" w:line="254" w:lineRule="auto"/>
        <w:jc w:val="both"/>
      </w:pPr>
      <w:r>
        <w:rPr>
          <w:rFonts w:ascii="Times New Roman" w:hAnsi="Times New Roman"/>
          <w:b w:val="0"/>
          <w:i w:val="0"/>
          <w:color w:val="000000"/>
          <w:sz w:val="20"/>
        </w:rPr>
        <w:t xml:space="preserve">This case study addresses the following central problem: </w:t>
      </w:r>
      <w:r>
        <w:rPr>
          <w:rFonts w:ascii="Times New Roman" w:hAnsi="Times New Roman"/>
          <w:b w:val="0"/>
          <w:i/>
          <w:color w:val="000000"/>
          <w:sz w:val="20"/>
        </w:rPr>
        <w:t>Given 30 self-reported survey responses, a course identifier, and prior academic performance data for 145 university students, can exploratory data analysis and deep learning classification reliably identify students at risk of low end-of-term grades, and what behavioural and demographic factors most strongly predict academic attainment?</w:t>
      </w:r>
    </w:p>
    <w:p>
      <w:pPr>
        <w:pStyle w:val="Heading2"/>
        <w:keepNext/>
        <w:spacing w:before="120" w:after="30"/>
      </w:pPr>
      <w:r>
        <w:rPr>
          <w:rFonts w:ascii="Times New Roman" w:hAnsi="Times New Roman"/>
          <w:b/>
          <w:color w:val="1F4E78"/>
          <w:sz w:val="20"/>
        </w:rPr>
        <w:t>2.2 Real-World Application</w:t>
      </w:r>
    </w:p>
    <w:p>
      <w:pPr>
        <w:spacing w:before="0" w:after="36" w:line="254" w:lineRule="auto"/>
        <w:jc w:val="both"/>
      </w:pPr>
      <w:r>
        <w:rPr>
          <w:rFonts w:ascii="Times New Roman" w:hAnsi="Times New Roman"/>
          <w:b w:val="0"/>
          <w:i w:val="0"/>
          <w:color w:val="000000"/>
          <w:sz w:val="20"/>
        </w:rPr>
        <w:t xml:space="preserve">The practical application envisaged in this study is an </w:t>
      </w:r>
      <w:r>
        <w:rPr>
          <w:rFonts w:ascii="Times New Roman" w:hAnsi="Times New Roman"/>
          <w:b/>
          <w:i w:val="0"/>
          <w:color w:val="000000"/>
          <w:sz w:val="20"/>
        </w:rPr>
        <w:t>Early-Warning and Academic Advising Decision Support System</w:t>
      </w:r>
      <w:r>
        <w:rPr>
          <w:rFonts w:ascii="Times New Roman" w:hAnsi="Times New Roman"/>
          <w:b w:val="0"/>
          <w:i w:val="0"/>
          <w:color w:val="000000"/>
          <w:sz w:val="20"/>
        </w:rPr>
        <w:t>. The system would operate as follows:</w:t>
      </w:r>
    </w:p>
    <w:p>
      <w:pPr>
        <w:spacing w:before="0" w:after="20" w:line="254" w:lineRule="auto"/>
        <w:ind w:left="259" w:hanging="173"/>
        <w:jc w:val="both"/>
      </w:pPr>
      <w:r>
        <w:rPr>
          <w:rFonts w:ascii="Times New Roman" w:hAnsi="Times New Roman"/>
          <w:b/>
          <w:color w:val="1F4E78"/>
          <w:sz w:val="19"/>
        </w:rPr>
        <w:t xml:space="preserve">1. </w:t>
      </w:r>
      <w:r>
        <w:rPr>
          <w:rFonts w:ascii="Times New Roman" w:hAnsi="Times New Roman"/>
          <w:b/>
          <w:i w:val="0"/>
          <w:color w:val="000000"/>
          <w:sz w:val="19"/>
        </w:rPr>
        <w:t>Data Ingestion:</w:t>
      </w:r>
      <w:r>
        <w:rPr>
          <w:rFonts w:ascii="Times New Roman" w:hAnsi="Times New Roman"/>
          <w:b w:val="0"/>
          <w:i w:val="0"/>
          <w:color w:val="000000"/>
          <w:sz w:val="19"/>
        </w:rPr>
        <w:t xml:space="preserve"> At the start of each academic term, incoming student survey responses and historical GPA records are collected through a standardised intake form.</w:t>
      </w:r>
    </w:p>
    <w:p>
      <w:pPr>
        <w:spacing w:before="0" w:after="20" w:line="254" w:lineRule="auto"/>
        <w:ind w:left="259" w:hanging="173"/>
        <w:jc w:val="both"/>
      </w:pPr>
      <w:r>
        <w:rPr>
          <w:rFonts w:ascii="Times New Roman" w:hAnsi="Times New Roman"/>
          <w:b/>
          <w:color w:val="1F4E78"/>
          <w:sz w:val="19"/>
        </w:rPr>
        <w:t xml:space="preserve">2. </w:t>
      </w:r>
      <w:r>
        <w:rPr>
          <w:rFonts w:ascii="Times New Roman" w:hAnsi="Times New Roman"/>
          <w:b/>
          <w:i w:val="0"/>
          <w:color w:val="000000"/>
          <w:sz w:val="19"/>
        </w:rPr>
        <w:t>Risk Scoring:</w:t>
      </w:r>
      <w:r>
        <w:rPr>
          <w:rFonts w:ascii="Times New Roman" w:hAnsi="Times New Roman"/>
          <w:b w:val="0"/>
          <w:i w:val="0"/>
          <w:color w:val="000000"/>
          <w:sz w:val="19"/>
        </w:rPr>
        <w:t xml:space="preserve"> A trained classification model assigns each student to one of three attainment tiers---Low, Medium, or High---based on the 31-feature input vector.</w:t>
      </w:r>
    </w:p>
    <w:p>
      <w:pPr>
        <w:spacing w:before="0" w:after="20" w:line="254" w:lineRule="auto"/>
        <w:ind w:left="259" w:hanging="173"/>
        <w:jc w:val="both"/>
      </w:pPr>
      <w:r>
        <w:rPr>
          <w:rFonts w:ascii="Times New Roman" w:hAnsi="Times New Roman"/>
          <w:b/>
          <w:color w:val="1F4E78"/>
          <w:sz w:val="19"/>
        </w:rPr>
        <w:t xml:space="preserve">3. </w:t>
      </w:r>
      <w:r>
        <w:rPr>
          <w:rFonts w:ascii="Times New Roman" w:hAnsi="Times New Roman"/>
          <w:b/>
          <w:i w:val="0"/>
          <w:color w:val="000000"/>
          <w:sz w:val="19"/>
        </w:rPr>
        <w:t>Automated Alerting:</w:t>
      </w:r>
      <w:r>
        <w:rPr>
          <w:rFonts w:ascii="Times New Roman" w:hAnsi="Times New Roman"/>
          <w:b w:val="0"/>
          <w:i w:val="0"/>
          <w:color w:val="000000"/>
          <w:sz w:val="19"/>
        </w:rPr>
        <w:t xml:space="preserve"> Students flagged as "Low" risk are automatically referred for advising appointments, supplemental instruction, and attendance monitoring.</w:t>
      </w:r>
    </w:p>
    <w:p>
      <w:pPr>
        <w:spacing w:before="0" w:after="20" w:line="254" w:lineRule="auto"/>
        <w:ind w:left="259" w:hanging="173"/>
        <w:jc w:val="both"/>
      </w:pPr>
      <w:r>
        <w:rPr>
          <w:rFonts w:ascii="Times New Roman" w:hAnsi="Times New Roman"/>
          <w:b/>
          <w:color w:val="1F4E78"/>
          <w:sz w:val="19"/>
        </w:rPr>
        <w:t xml:space="preserve">4. </w:t>
      </w:r>
      <w:r>
        <w:rPr>
          <w:rFonts w:ascii="Times New Roman" w:hAnsi="Times New Roman"/>
          <w:b/>
          <w:i w:val="0"/>
          <w:color w:val="000000"/>
          <w:sz w:val="19"/>
        </w:rPr>
        <w:t>Continuous Monitoring:</w:t>
      </w:r>
      <w:r>
        <w:rPr>
          <w:rFonts w:ascii="Times New Roman" w:hAnsi="Times New Roman"/>
          <w:b w:val="0"/>
          <w:i w:val="0"/>
          <w:color w:val="000000"/>
          <w:sz w:val="19"/>
        </w:rPr>
        <w:t xml:space="preserve"> Attendance and engagement metrics are tracked throughout the term, and the risk tier is updated dynamically.</w:t>
      </w:r>
    </w:p>
    <w:p>
      <w:pPr>
        <w:spacing w:before="0" w:after="20" w:line="254" w:lineRule="auto"/>
        <w:ind w:left="259" w:hanging="173"/>
        <w:jc w:val="both"/>
      </w:pPr>
      <w:r>
        <w:rPr>
          <w:rFonts w:ascii="Times New Roman" w:hAnsi="Times New Roman"/>
          <w:b/>
          <w:color w:val="1F4E78"/>
          <w:sz w:val="19"/>
        </w:rPr>
        <w:t xml:space="preserve">5. </w:t>
      </w:r>
      <w:r>
        <w:rPr>
          <w:rFonts w:ascii="Times New Roman" w:hAnsi="Times New Roman"/>
          <w:b/>
          <w:i w:val="0"/>
          <w:color w:val="000000"/>
          <w:sz w:val="19"/>
        </w:rPr>
        <w:t>Institutional Reporting:</w:t>
      </w:r>
      <w:r>
        <w:rPr>
          <w:rFonts w:ascii="Times New Roman" w:hAnsi="Times New Roman"/>
          <w:b w:val="0"/>
          <w:i w:val="0"/>
          <w:color w:val="000000"/>
          <w:sz w:val="19"/>
        </w:rPr>
        <w:t xml:space="preserve"> Aggregated course-level risk profiles inform departmental curriculum reviews and grading-standard audits.</w:t>
      </w:r>
    </w:p>
    <w:p>
      <w:pPr>
        <w:pStyle w:val="Heading2"/>
        <w:keepNext/>
        <w:spacing w:before="120" w:after="30"/>
      </w:pPr>
      <w:r>
        <w:rPr>
          <w:rFonts w:ascii="Times New Roman" w:hAnsi="Times New Roman"/>
          <w:b/>
          <w:color w:val="1F4E78"/>
          <w:sz w:val="20"/>
        </w:rPr>
        <w:t>2.3 Objectives</w:t>
      </w:r>
    </w:p>
    <w:p>
      <w:pPr>
        <w:spacing w:before="0" w:after="36" w:line="254" w:lineRule="auto"/>
        <w:jc w:val="both"/>
      </w:pPr>
      <w:r>
        <w:rPr>
          <w:rFonts w:ascii="Times New Roman" w:hAnsi="Times New Roman"/>
          <w:b w:val="0"/>
          <w:i w:val="0"/>
          <w:color w:val="000000"/>
          <w:sz w:val="20"/>
        </w:rPr>
        <w:t>The specific objectives of this case study are:</w:t>
      </w:r>
    </w:p>
    <w:p>
      <w:pPr>
        <w:spacing w:before="0" w:after="20" w:line="254" w:lineRule="auto"/>
        <w:ind w:left="259" w:hanging="173"/>
        <w:jc w:val="both"/>
      </w:pPr>
      <w:r>
        <w:rPr>
          <w:rFonts w:ascii="Times New Roman" w:hAnsi="Times New Roman"/>
          <w:b/>
          <w:color w:val="1F4E78"/>
          <w:sz w:val="19"/>
        </w:rPr>
        <w:t xml:space="preserve">1. </w:t>
      </w:r>
      <w:r>
        <w:rPr>
          <w:rFonts w:ascii="Times New Roman" w:hAnsi="Times New Roman"/>
          <w:b w:val="0"/>
          <w:i w:val="0"/>
          <w:color w:val="000000"/>
          <w:sz w:val="19"/>
        </w:rPr>
        <w:t>To acquire, parse, clean, and validate the UCI Higher Education Students Performance Evaluation dataset, ensuring 100% data integrity and correct categorical decoding.</w:t>
      </w:r>
    </w:p>
    <w:p>
      <w:pPr>
        <w:spacing w:before="0" w:after="20" w:line="254" w:lineRule="auto"/>
        <w:ind w:left="259" w:hanging="173"/>
        <w:jc w:val="both"/>
      </w:pPr>
      <w:r>
        <w:rPr>
          <w:rFonts w:ascii="Times New Roman" w:hAnsi="Times New Roman"/>
          <w:b/>
          <w:color w:val="1F4E78"/>
          <w:sz w:val="19"/>
        </w:rPr>
        <w:t xml:space="preserve">2. </w:t>
      </w:r>
      <w:r>
        <w:rPr>
          <w:rFonts w:ascii="Times New Roman" w:hAnsi="Times New Roman"/>
          <w:b w:val="0"/>
          <w:i w:val="0"/>
          <w:color w:val="000000"/>
          <w:sz w:val="19"/>
        </w:rPr>
        <w:t>To conduct rigorous univariate, bivariate, and multivariate exploratory data analysis using non-parametric statistical tests (Spearman, Cramer's V, Mann-Whitney, Kruskal-Wallis) with false-discovery-rate correction.</w:t>
      </w:r>
    </w:p>
    <w:p>
      <w:pPr>
        <w:spacing w:before="0" w:after="20" w:line="254" w:lineRule="auto"/>
        <w:ind w:left="259" w:hanging="173"/>
        <w:jc w:val="both"/>
      </w:pPr>
      <w:r>
        <w:rPr>
          <w:rFonts w:ascii="Times New Roman" w:hAnsi="Times New Roman"/>
          <w:b/>
          <w:color w:val="1F4E78"/>
          <w:sz w:val="19"/>
        </w:rPr>
        <w:t xml:space="preserve">3. </w:t>
      </w:r>
      <w:r>
        <w:rPr>
          <w:rFonts w:ascii="Times New Roman" w:hAnsi="Times New Roman"/>
          <w:b w:val="0"/>
          <w:i w:val="0"/>
          <w:color w:val="000000"/>
          <w:sz w:val="19"/>
        </w:rPr>
        <w:t>To model the discrete target distribution using Binomial, Poisson, and discrete uniform probability models, and to assess continuous normality of engineered composite features.</w:t>
      </w:r>
    </w:p>
    <w:p>
      <w:pPr>
        <w:spacing w:before="0" w:after="20" w:line="254" w:lineRule="auto"/>
        <w:ind w:left="259" w:hanging="173"/>
        <w:jc w:val="both"/>
      </w:pPr>
      <w:r>
        <w:rPr>
          <w:rFonts w:ascii="Times New Roman" w:hAnsi="Times New Roman"/>
          <w:b/>
          <w:color w:val="1F4E78"/>
          <w:sz w:val="19"/>
        </w:rPr>
        <w:t xml:space="preserve">4. </w:t>
      </w:r>
      <w:r>
        <w:rPr>
          <w:rFonts w:ascii="Times New Roman" w:hAnsi="Times New Roman"/>
          <w:b w:val="0"/>
          <w:i w:val="0"/>
          <w:color w:val="000000"/>
          <w:sz w:val="19"/>
        </w:rPr>
        <w:t>To produce a minimum of 22 publication-grade static visualisations and 6 interactive dashboards, following Ben Fry's seven stages of data visualisation.</w:t>
      </w:r>
    </w:p>
    <w:p>
      <w:pPr>
        <w:spacing w:before="0" w:after="20" w:line="254" w:lineRule="auto"/>
        <w:ind w:left="259" w:hanging="173"/>
        <w:jc w:val="both"/>
      </w:pPr>
      <w:r>
        <w:rPr>
          <w:rFonts w:ascii="Times New Roman" w:hAnsi="Times New Roman"/>
          <w:b/>
          <w:color w:val="1F4E78"/>
          <w:sz w:val="19"/>
        </w:rPr>
        <w:t xml:space="preserve">5. </w:t>
      </w:r>
      <w:r>
        <w:rPr>
          <w:rFonts w:ascii="Times New Roman" w:hAnsi="Times New Roman"/>
          <w:b w:val="0"/>
          <w:i w:val="0"/>
          <w:color w:val="000000"/>
          <w:sz w:val="19"/>
        </w:rPr>
        <w:t>To design, train, and evaluate a deep multilayer perceptron classifier for 3-class risk-tier and 8-class letter-grade prediction, benchmarked against logistic regression and random forest baselines.</w:t>
      </w:r>
    </w:p>
    <w:p>
      <w:pPr>
        <w:spacing w:before="0" w:after="20" w:line="254" w:lineRule="auto"/>
        <w:ind w:left="259" w:hanging="173"/>
        <w:jc w:val="both"/>
      </w:pPr>
      <w:r>
        <w:rPr>
          <w:rFonts w:ascii="Times New Roman" w:hAnsi="Times New Roman"/>
          <w:b/>
          <w:color w:val="1F4E78"/>
          <w:sz w:val="19"/>
        </w:rPr>
        <w:t xml:space="preserve">6. </w:t>
      </w:r>
      <w:r>
        <w:rPr>
          <w:rFonts w:ascii="Times New Roman" w:hAnsi="Times New Roman"/>
          <w:b w:val="0"/>
          <w:i w:val="0"/>
          <w:color w:val="000000"/>
          <w:sz w:val="19"/>
        </w:rPr>
        <w:t>To derive actionable, data-driven recommendations for university academic-advising practice, while acknowledging ethical constraints on the use of sensitive attributes.</w:t>
      </w:r>
    </w:p>
    <w:p>
      <w:pPr>
        <w:pStyle w:val="Heading2"/>
        <w:keepNext/>
        <w:spacing w:before="120" w:after="30"/>
      </w:pPr>
      <w:r>
        <w:rPr>
          <w:rFonts w:ascii="Times New Roman" w:hAnsi="Times New Roman"/>
          <w:b/>
          <w:color w:val="1F4E78"/>
          <w:sz w:val="20"/>
        </w:rPr>
        <w:t>2.4 Scope and Contributions</w:t>
      </w:r>
    </w:p>
    <w:p>
      <w:pPr>
        <w:spacing w:before="0" w:after="36" w:line="254" w:lineRule="auto"/>
        <w:jc w:val="both"/>
      </w:pPr>
      <w:r>
        <w:rPr>
          <w:rFonts w:ascii="Times New Roman" w:hAnsi="Times New Roman"/>
          <w:b w:val="0"/>
          <w:i w:val="0"/>
          <w:color w:val="000000"/>
          <w:sz w:val="20"/>
        </w:rPr>
        <w:t>This study is scoped to the single UCI dataset of 145 students from two faculties at a Cyprus university, collected in 2019. The analysis does not claim generalisability to other institutions or educational contexts. The primary contributions are:</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val="0"/>
          <w:i w:val="0"/>
          <w:color w:val="000000"/>
          <w:sz w:val="19"/>
        </w:rPr>
        <w:t>A complete, reproducible end-to-end data science pipeline from raw CSV to trained deep learning model, implemented in Python with full code availability on GitHub.</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val="0"/>
          <w:i w:val="0"/>
          <w:color w:val="000000"/>
          <w:sz w:val="19"/>
        </w:rPr>
        <w:t>A rigorous statistical analysis framework applying non-parametric tests appropriate for ordinal and nominal survey data, with explicit control for multiple comparisons.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val="0"/>
          <w:i w:val="0"/>
          <w:color w:val="000000"/>
          <w:sz w:val="19"/>
        </w:rPr>
        <w:t>A systematic visualisation architecture organised by Ben Fry's seven-stage framework, producing 34 static figures and 6 interactive HTML dashboards.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val="0"/>
          <w:i w:val="0"/>
          <w:color w:val="000000"/>
          <w:sz w:val="19"/>
        </w:rPr>
        <w:t>Honest reporting of model performance on a small dataset, including cross-validation and ablation studies that reveal the dominant influence of course-level confounding.</w:t>
      </w:r>
    </w:p>
    <w:p>
      <w:pPr>
        <w:pStyle w:val="Heading2"/>
        <w:keepNext/>
        <w:spacing w:before="120" w:after="30"/>
      </w:pPr>
      <w:r>
        <w:rPr>
          <w:rFonts w:ascii="Times New Roman" w:hAnsi="Times New Roman"/>
          <w:b/>
          <w:color w:val="1F4E78"/>
          <w:sz w:val="20"/>
        </w:rPr>
        <w:t>2.5 Literature Review</w:t>
      </w:r>
    </w:p>
    <w:p>
      <w:pPr>
        <w:spacing w:before="0" w:after="36" w:line="254" w:lineRule="auto"/>
        <w:jc w:val="both"/>
      </w:pPr>
      <w:r>
        <w:rPr>
          <w:rFonts w:ascii="Times New Roman" w:hAnsi="Times New Roman"/>
          <w:b w:val="0"/>
          <w:i w:val="0"/>
          <w:color w:val="000000"/>
          <w:sz w:val="20"/>
        </w:rPr>
        <w:t>Educational data mining has attracted growing scholarly attention over the past decade. Yilmaz and Sekeroglu [1] collected the dataset used in this study from engineering and educational-sciences faculties in Northern Cyprus and applied several machine-learning classifiers, demonstrating that student survey responses contain predictive signal for end-of-term grades. Their work established the baseline for computational modelling on this cohort.</w:t>
      </w:r>
    </w:p>
    <w:p>
      <w:pPr>
        <w:spacing w:before="0" w:after="36" w:line="254" w:lineRule="auto"/>
        <w:jc w:val="both"/>
      </w:pPr>
      <w:r>
        <w:rPr>
          <w:rFonts w:ascii="Times New Roman" w:hAnsi="Times New Roman"/>
          <w:b w:val="0"/>
          <w:i w:val="0"/>
          <w:color w:val="000000"/>
          <w:sz w:val="20"/>
        </w:rPr>
        <w:t xml:space="preserve">The methodological framework adopted in this report follows Ben Fry's </w:t>
      </w:r>
      <w:r>
        <w:rPr>
          <w:rFonts w:ascii="Times New Roman" w:hAnsi="Times New Roman"/>
          <w:b w:val="0"/>
          <w:i/>
          <w:color w:val="000000"/>
          <w:sz w:val="20"/>
        </w:rPr>
        <w:t>Visualizing Data</w:t>
      </w:r>
      <w:r>
        <w:rPr>
          <w:rFonts w:ascii="Times New Roman" w:hAnsi="Times New Roman"/>
          <w:b w:val="0"/>
          <w:i w:val="0"/>
          <w:color w:val="000000"/>
          <w:sz w:val="20"/>
        </w:rPr>
        <w:t xml:space="preserve"> [2], which decomposes the visualisation process into seven sequential stages: Acquire, Parse, Filter, Mine, Represent, Refine, and Interact. This framework ensures that data transformation, statistical analysis, and visual encoding proceed in a disciplined, reproducible manner.</w:t>
      </w:r>
    </w:p>
    <w:p>
      <w:pPr>
        <w:spacing w:before="0" w:after="36" w:line="254" w:lineRule="auto"/>
        <w:jc w:val="both"/>
      </w:pPr>
      <w:r>
        <w:rPr>
          <w:rFonts w:ascii="Times New Roman" w:hAnsi="Times New Roman"/>
          <w:b w:val="0"/>
          <w:i w:val="0"/>
          <w:color w:val="000000"/>
          <w:sz w:val="20"/>
        </w:rPr>
        <w:t>On the computational side, the analysis leverages the open-source Python ecosystem. Matplotlib [3] provides the foundational 2-D plotting engine; Seaborn [4] extends it with statistical graphics and integrated theming; Pandas [6] supplies the data-frame abstraction; and Scikit-learn [5] offers preprocessing, cross-validation, and baseline classifiers. For deep learning, the Keras API within TensorFlow [8] enables rapid prototyping of multilayer perceptrons, while the theoretical foundations for regularisation, dropout, and batch normalisation are drawn from Goodfellow, Bengio, and Courville [7].</w:t>
      </w:r>
    </w:p>
    <w:p>
      <w:pPr>
        <w:spacing w:before="0" w:after="36" w:line="254" w:lineRule="auto"/>
        <w:jc w:val="both"/>
      </w:pPr>
      <w:r>
        <w:rPr>
          <w:rFonts w:ascii="Times New Roman" w:hAnsi="Times New Roman"/>
          <w:b w:val="0"/>
          <w:i w:val="0"/>
          <w:color w:val="000000"/>
          <w:sz w:val="20"/>
        </w:rPr>
        <w:t>Collectively, these references establish both the domain context and the computational toolkit for the investigation that follows.</w:t>
      </w:r>
    </w:p>
    <w:p>
      <w:pPr>
        <w:pStyle w:val="Heading2"/>
        <w:keepNext/>
        <w:spacing w:before="120" w:after="30"/>
      </w:pPr>
      <w:r>
        <w:rPr>
          <w:rFonts w:ascii="Times New Roman" w:hAnsi="Times New Roman"/>
          <w:b/>
          <w:color w:val="1F4E78"/>
          <w:sz w:val="20"/>
        </w:rPr>
        <w:t>2.6 Methodological Framework: Ben Fry's Seven Stages</w:t>
      </w:r>
    </w:p>
    <w:p>
      <w:pPr>
        <w:spacing w:before="0" w:after="36" w:line="254" w:lineRule="auto"/>
        <w:jc w:val="both"/>
      </w:pPr>
      <w:r>
        <w:rPr>
          <w:rFonts w:ascii="Times New Roman" w:hAnsi="Times New Roman"/>
          <w:b w:val="0"/>
          <w:i w:val="0"/>
          <w:color w:val="000000"/>
          <w:sz w:val="20"/>
        </w:rPr>
        <w:t>The entire exploratory data analysis and visualisation pipeline was organised according to the seven stages defined by Ben Fry [2]:</w:t>
      </w:r>
    </w:p>
    <w:p>
      <w:pPr>
        <w:spacing w:before="0" w:after="20" w:line="254" w:lineRule="auto"/>
        <w:ind w:left="259" w:hanging="173"/>
        <w:jc w:val="both"/>
      </w:pPr>
      <w:r>
        <w:rPr>
          <w:rFonts w:ascii="Times New Roman" w:hAnsi="Times New Roman"/>
          <w:b/>
          <w:color w:val="1F4E78"/>
          <w:sz w:val="19"/>
        </w:rPr>
        <w:t xml:space="preserve">1. </w:t>
      </w:r>
      <w:r>
        <w:rPr>
          <w:rFonts w:ascii="Times New Roman" w:hAnsi="Times New Roman"/>
          <w:b/>
          <w:i w:val="0"/>
          <w:color w:val="000000"/>
          <w:sz w:val="19"/>
        </w:rPr>
        <w:t>Acquire:</w:t>
      </w:r>
      <w:r>
        <w:rPr>
          <w:rFonts w:ascii="Times New Roman" w:hAnsi="Times New Roman"/>
          <w:b w:val="0"/>
          <w:i w:val="0"/>
          <w:color w:val="000000"/>
          <w:sz w:val="19"/>
        </w:rPr>
        <w:t xml:space="preserve"> Load the raw CSV dataset from local storage or a remote GitHub URL, and verify its tabular geometry (Section 4 of the notebook).</w:t>
      </w:r>
    </w:p>
    <w:p>
      <w:pPr>
        <w:spacing w:before="0" w:after="20" w:line="254" w:lineRule="auto"/>
        <w:ind w:left="259" w:hanging="173"/>
        <w:jc w:val="both"/>
      </w:pPr>
      <w:r>
        <w:rPr>
          <w:rFonts w:ascii="Times New Roman" w:hAnsi="Times New Roman"/>
          <w:b/>
          <w:color w:val="1F4E78"/>
          <w:sz w:val="19"/>
        </w:rPr>
        <w:t xml:space="preserve">2. </w:t>
      </w:r>
      <w:r>
        <w:rPr>
          <w:rFonts w:ascii="Times New Roman" w:hAnsi="Times New Roman"/>
          <w:b/>
          <w:i w:val="0"/>
          <w:color w:val="000000"/>
          <w:sz w:val="19"/>
        </w:rPr>
        <w:t>Parse:</w:t>
      </w:r>
      <w:r>
        <w:rPr>
          <w:rFonts w:ascii="Times New Roman" w:hAnsi="Times New Roman"/>
          <w:b w:val="0"/>
          <w:i w:val="0"/>
          <w:color w:val="000000"/>
          <w:sz w:val="19"/>
        </w:rPr>
        <w:t xml:space="preserve"> Rename ambiguous numeric column headers to domain-meaningful identifiers, decode integer codes into human-readable categorical labels, and set appropriate data types (Section 4).</w:t>
      </w:r>
    </w:p>
    <w:p>
      <w:pPr>
        <w:spacing w:before="0" w:after="20" w:line="254" w:lineRule="auto"/>
        <w:ind w:left="259" w:hanging="173"/>
        <w:jc w:val="both"/>
      </w:pPr>
      <w:r>
        <w:rPr>
          <w:rFonts w:ascii="Times New Roman" w:hAnsi="Times New Roman"/>
          <w:b/>
          <w:color w:val="1F4E78"/>
          <w:sz w:val="19"/>
        </w:rPr>
        <w:t xml:space="preserve">3. </w:t>
      </w:r>
      <w:r>
        <w:rPr>
          <w:rFonts w:ascii="Times New Roman" w:hAnsi="Times New Roman"/>
          <w:b/>
          <w:i w:val="0"/>
          <w:color w:val="000000"/>
          <w:sz w:val="19"/>
        </w:rPr>
        <w:t>Filter:</w:t>
      </w:r>
      <w:r>
        <w:rPr>
          <w:rFonts w:ascii="Times New Roman" w:hAnsi="Times New Roman"/>
          <w:b w:val="0"/>
          <w:i w:val="0"/>
          <w:color w:val="000000"/>
          <w:sz w:val="19"/>
        </w:rPr>
        <w:t xml:space="preserve"> Audit data quality (missing values, duplicates, domain-range violations, rare categories), detect and justify outlier retention, and engineer composite behavioural metrics (Section 5).</w:t>
      </w:r>
    </w:p>
    <w:p>
      <w:pPr>
        <w:spacing w:before="0" w:after="20" w:line="254" w:lineRule="auto"/>
        <w:ind w:left="259" w:hanging="173"/>
        <w:jc w:val="both"/>
      </w:pPr>
      <w:r>
        <w:rPr>
          <w:rFonts w:ascii="Times New Roman" w:hAnsi="Times New Roman"/>
          <w:b/>
          <w:color w:val="1F4E78"/>
          <w:sz w:val="19"/>
        </w:rPr>
        <w:t xml:space="preserve">4. </w:t>
      </w:r>
      <w:r>
        <w:rPr>
          <w:rFonts w:ascii="Times New Roman" w:hAnsi="Times New Roman"/>
          <w:b/>
          <w:i w:val="0"/>
          <w:color w:val="000000"/>
          <w:sz w:val="19"/>
        </w:rPr>
        <w:t>Mine:</w:t>
      </w:r>
      <w:r>
        <w:rPr>
          <w:rFonts w:ascii="Times New Roman" w:hAnsi="Times New Roman"/>
          <w:b w:val="0"/>
          <w:i w:val="0"/>
          <w:color w:val="000000"/>
          <w:sz w:val="19"/>
        </w:rPr>
        <w:t xml:space="preserve"> Execute descriptive statistics, hypothesis testing, probability distribution fitting, correlation analysis, and conditional probability estimation (Section 5-6).</w:t>
      </w:r>
    </w:p>
    <w:p>
      <w:pPr>
        <w:spacing w:before="0" w:after="20" w:line="254" w:lineRule="auto"/>
        <w:ind w:left="259" w:hanging="173"/>
        <w:jc w:val="both"/>
      </w:pPr>
      <w:r>
        <w:rPr>
          <w:rFonts w:ascii="Times New Roman" w:hAnsi="Times New Roman"/>
          <w:b/>
          <w:color w:val="1F4E78"/>
          <w:sz w:val="19"/>
        </w:rPr>
        <w:t xml:space="preserve">5. </w:t>
      </w:r>
      <w:r>
        <w:rPr>
          <w:rFonts w:ascii="Times New Roman" w:hAnsi="Times New Roman"/>
          <w:b/>
          <w:i w:val="0"/>
          <w:color w:val="000000"/>
          <w:sz w:val="19"/>
        </w:rPr>
        <w:t>Represent:</w:t>
      </w:r>
      <w:r>
        <w:rPr>
          <w:rFonts w:ascii="Times New Roman" w:hAnsi="Times New Roman"/>
          <w:b w:val="0"/>
          <w:i w:val="0"/>
          <w:color w:val="000000"/>
          <w:sz w:val="19"/>
        </w:rPr>
        <w:t xml:space="preserve"> Translate statistical structures into a comprehensive atlas of 34 static publication-grade figures across univariate, bivariate, and multivariate dimensions (Section 6).</w:t>
      </w:r>
    </w:p>
    <w:p>
      <w:pPr>
        <w:spacing w:before="0" w:after="20" w:line="254" w:lineRule="auto"/>
        <w:ind w:left="259" w:hanging="173"/>
        <w:jc w:val="both"/>
      </w:pPr>
      <w:r>
        <w:rPr>
          <w:rFonts w:ascii="Times New Roman" w:hAnsi="Times New Roman"/>
          <w:b/>
          <w:color w:val="1F4E78"/>
          <w:sz w:val="19"/>
        </w:rPr>
        <w:t xml:space="preserve">6. </w:t>
      </w:r>
      <w:r>
        <w:rPr>
          <w:rFonts w:ascii="Times New Roman" w:hAnsi="Times New Roman"/>
          <w:b/>
          <w:i w:val="0"/>
          <w:color w:val="000000"/>
          <w:sz w:val="19"/>
        </w:rPr>
        <w:t>Refine:</w:t>
      </w:r>
      <w:r>
        <w:rPr>
          <w:rFonts w:ascii="Times New Roman" w:hAnsi="Times New Roman"/>
          <w:b w:val="0"/>
          <w:i w:val="0"/>
          <w:color w:val="000000"/>
          <w:sz w:val="19"/>
        </w:rPr>
        <w:t xml:space="preserve"> Apply systematic design standards---informative titles, labelled axes, colourblind-safe palettes, annotated counts, 300-DPI export---and demonstrate the transformation with a before-versus-after example (Section 6.6).</w:t>
      </w:r>
    </w:p>
    <w:p>
      <w:pPr>
        <w:spacing w:before="0" w:after="20" w:line="254" w:lineRule="auto"/>
        <w:ind w:left="259" w:hanging="173"/>
        <w:jc w:val="both"/>
      </w:pPr>
      <w:r>
        <w:rPr>
          <w:rFonts w:ascii="Times New Roman" w:hAnsi="Times New Roman"/>
          <w:b/>
          <w:color w:val="1F4E78"/>
          <w:sz w:val="19"/>
        </w:rPr>
        <w:t xml:space="preserve">7. </w:t>
      </w:r>
      <w:r>
        <w:rPr>
          <w:rFonts w:ascii="Times New Roman" w:hAnsi="Times New Roman"/>
          <w:b/>
          <w:i w:val="0"/>
          <w:color w:val="000000"/>
          <w:sz w:val="19"/>
        </w:rPr>
        <w:t>Interact:</w:t>
      </w:r>
      <w:r>
        <w:rPr>
          <w:rFonts w:ascii="Times New Roman" w:hAnsi="Times New Roman"/>
          <w:b w:val="0"/>
          <w:i w:val="0"/>
          <w:color w:val="000000"/>
          <w:sz w:val="19"/>
        </w:rPr>
        <w:t xml:space="preserve"> Deliver six standalone Plotly HTML dashboards enabling dynamic filtering, brushing, and 3-D projection (Section 6.6).</w:t>
      </w:r>
    </w:p>
    <w:p>
      <w:pPr>
        <w:pStyle w:val="Heading2"/>
        <w:keepNext/>
        <w:spacing w:before="120" w:after="30"/>
      </w:pPr>
      <w:r>
        <w:rPr>
          <w:rFonts w:ascii="Times New Roman" w:hAnsi="Times New Roman"/>
          <w:b/>
          <w:color w:val="1F4E78"/>
          <w:sz w:val="20"/>
        </w:rPr>
        <w:t>2.7 Organisation of the Report</w:t>
      </w:r>
    </w:p>
    <w:p>
      <w:pPr>
        <w:spacing w:before="0" w:after="36" w:line="254" w:lineRule="auto"/>
        <w:jc w:val="both"/>
      </w:pPr>
      <w:r>
        <w:rPr>
          <w:rFonts w:ascii="Times New Roman" w:hAnsi="Times New Roman"/>
          <w:b w:val="0"/>
          <w:i w:val="0"/>
          <w:color w:val="000000"/>
          <w:sz w:val="20"/>
        </w:rPr>
        <w:t>The remainder of this report is organised as follows. Section 3 describes the dataset provenance, structure, and quality. Section 4 details the exploratory data analysis and preprocessing pipeline. Section 5 presents the complete data visualisation suite. Section 6 formulates the deep learning and baseline classification models. Section 7 reports and interprets the evaluation results. Section 8 offers conclusions, limitations, practical recommendations, and future research directions. References and appendices follow.</w:t>
      </w:r>
    </w:p>
    <w:p>
      <w:pPr>
        <w:pStyle w:val="Heading1"/>
        <w:keepNext/>
        <w:spacing w:before="180" w:after="40"/>
      </w:pPr>
      <w:r>
        <w:rPr>
          <w:rFonts w:ascii="Times New Roman" w:hAnsi="Times New Roman"/>
          <w:b/>
          <w:color w:val="1F4E78"/>
          <w:sz w:val="22"/>
        </w:rPr>
        <w:t>2. DATASET DESCRIPTION &amp; FEATURE ENGINEERING</w:t>
      </w:r>
    </w:p>
    <w:p>
      <w:pPr>
        <w:pStyle w:val="Heading2"/>
        <w:keepNext/>
        <w:spacing w:before="120" w:after="30"/>
      </w:pPr>
      <w:r>
        <w:rPr>
          <w:rFonts w:ascii="Times New Roman" w:hAnsi="Times New Roman"/>
          <w:b/>
          <w:color w:val="1F4E78"/>
          <w:sz w:val="20"/>
        </w:rPr>
        <w:t>3.1 Source and Collection Context</w:t>
      </w:r>
    </w:p>
    <w:p>
      <w:pPr>
        <w:spacing w:before="0" w:after="36" w:line="254" w:lineRule="auto"/>
        <w:jc w:val="both"/>
      </w:pPr>
      <w:r>
        <w:rPr>
          <w:rFonts w:ascii="Times New Roman" w:hAnsi="Times New Roman"/>
          <w:b w:val="0"/>
          <w:i w:val="0"/>
          <w:color w:val="000000"/>
          <w:sz w:val="20"/>
        </w:rPr>
        <w:t>The dataset used in this study was obtained from the UCI Machine Learning Repository under the title "Higher Education Students Performance Evaluation" [1]. It was collected in 2019 by Yilmaz and Sekeroglu at a university in Northern Cyprus, drawing students from the Faculty of Engineering and the Faculty of Educational Sciences. Each student completed a standardised survey of 30 questions covering personal demographics, family socioeconomic background, and academic study habits. The responses were linked to the student's officially recorded end-of-term letter grade (the target variable) and the academic course in which they were enrolled.</w:t>
      </w:r>
    </w:p>
    <w:p>
      <w:pPr>
        <w:pStyle w:val="Heading2"/>
        <w:keepNext/>
        <w:spacing w:before="120" w:after="30"/>
      </w:pPr>
      <w:r>
        <w:rPr>
          <w:rFonts w:ascii="Times New Roman" w:hAnsi="Times New Roman"/>
          <w:b/>
          <w:color w:val="1F4E78"/>
          <w:sz w:val="20"/>
        </w:rPr>
        <w:t>3.2 Dataset Geometry</w:t>
      </w:r>
    </w:p>
    <w:p>
      <w:pPr>
        <w:spacing w:before="0" w:after="36" w:line="254" w:lineRule="auto"/>
        <w:jc w:val="both"/>
      </w:pPr>
      <w:r>
        <w:rPr>
          <w:rFonts w:ascii="Times New Roman" w:hAnsi="Times New Roman"/>
          <w:b w:val="0"/>
          <w:i w:val="0"/>
          <w:color w:val="000000"/>
          <w:sz w:val="20"/>
        </w:rPr>
        <w:t xml:space="preserve">The raw dataset comprises </w:t>
      </w:r>
      <w:r>
        <w:rPr>
          <w:rFonts w:ascii="Times New Roman" w:hAnsi="Times New Roman"/>
          <w:b/>
          <w:i w:val="0"/>
          <w:color w:val="000000"/>
          <w:sz w:val="20"/>
        </w:rPr>
        <w:t>145 student records</w:t>
      </w:r>
      <w:r>
        <w:rPr>
          <w:rFonts w:ascii="Times New Roman" w:hAnsi="Times New Roman"/>
          <w:b w:val="0"/>
          <w:i w:val="0"/>
          <w:color w:val="000000"/>
          <w:sz w:val="20"/>
        </w:rPr>
        <w:t xml:space="preserve"> (rows) and </w:t>
      </w:r>
      <w:r>
        <w:rPr>
          <w:rFonts w:ascii="Times New Roman" w:hAnsi="Times New Roman"/>
          <w:b/>
          <w:i w:val="0"/>
          <w:color w:val="000000"/>
          <w:sz w:val="20"/>
        </w:rPr>
        <w:t>33 columns</w:t>
      </w:r>
      <w:r>
        <w:rPr>
          <w:rFonts w:ascii="Times New Roman" w:hAnsi="Times New Roman"/>
          <w:b w:val="0"/>
          <w:i w:val="0"/>
          <w:color w:val="000000"/>
          <w:sz w:val="20"/>
        </w:rPr>
        <w:t>:</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1 identifier column:</w:t>
      </w:r>
      <w:r>
        <w:rPr>
          <w:rFonts w:ascii="Times New Roman" w:hAnsi="Times New Roman"/>
          <w:b w:val="0"/>
          <w:i w:val="0"/>
          <w:color w:val="000000"/>
          <w:sz w:val="19"/>
        </w:rPr>
        <w:t xml:space="preserve"> </w:t>
      </w:r>
      <w:r>
        <w:rPr>
          <w:rFonts w:ascii="Consolas" w:hAnsi="Consolas"/>
          <w:b w:val="0"/>
          <w:i w:val="0"/>
          <w:color w:val="1E293B"/>
          <w:sz w:val="16"/>
        </w:rPr>
        <w:t>STUDENT ID</w:t>
      </w:r>
      <w:r>
        <w:rPr>
          <w:rFonts w:ascii="Times New Roman" w:hAnsi="Times New Roman"/>
          <w:b w:val="0"/>
          <w:i w:val="0"/>
          <w:color w:val="000000"/>
          <w:sz w:val="19"/>
        </w:rPr>
        <w:t xml:space="preserve"> (arbitrary labels STUDENT1 through STUDENT145).</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30 survey columns:</w:t>
      </w:r>
      <w:r>
        <w:rPr>
          <w:rFonts w:ascii="Times New Roman" w:hAnsi="Times New Roman"/>
          <w:b w:val="0"/>
          <w:i w:val="0"/>
          <w:color w:val="000000"/>
          <w:sz w:val="19"/>
        </w:rPr>
        <w:t xml:space="preserve"> Originally headed with the integers "1" through "30", each encoding a categorical survey response as an integer code.</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1 institutional context variable:</w:t>
      </w:r>
      <w:r>
        <w:rPr>
          <w:rFonts w:ascii="Times New Roman" w:hAnsi="Times New Roman"/>
          <w:b w:val="0"/>
          <w:i w:val="0"/>
          <w:color w:val="000000"/>
          <w:sz w:val="19"/>
        </w:rPr>
        <w:t xml:space="preserve"> </w:t>
      </w:r>
      <w:r>
        <w:rPr>
          <w:rFonts w:ascii="Consolas" w:hAnsi="Consolas"/>
          <w:b w:val="0"/>
          <w:i w:val="0"/>
          <w:color w:val="1E293B"/>
          <w:sz w:val="16"/>
        </w:rPr>
        <w:t>COURSE ID</w:t>
      </w:r>
      <w:r>
        <w:rPr>
          <w:rFonts w:ascii="Times New Roman" w:hAnsi="Times New Roman"/>
          <w:b w:val="0"/>
          <w:i w:val="0"/>
          <w:color w:val="000000"/>
          <w:sz w:val="19"/>
        </w:rPr>
        <w:t>, an integer from 1 to 9 identifying the academic course offering.</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1 target variable:</w:t>
      </w:r>
      <w:r>
        <w:rPr>
          <w:rFonts w:ascii="Times New Roman" w:hAnsi="Times New Roman"/>
          <w:b w:val="0"/>
          <w:i w:val="0"/>
          <w:color w:val="000000"/>
          <w:sz w:val="19"/>
        </w:rPr>
        <w:t xml:space="preserve"> </w:t>
      </w:r>
      <w:r>
        <w:rPr>
          <w:rFonts w:ascii="Consolas" w:hAnsi="Consolas"/>
          <w:b w:val="0"/>
          <w:i w:val="0"/>
          <w:color w:val="1E293B"/>
          <w:sz w:val="16"/>
        </w:rPr>
        <w:t>GRADE</w:t>
      </w:r>
      <w:r>
        <w:rPr>
          <w:rFonts w:ascii="Times New Roman" w:hAnsi="Times New Roman"/>
          <w:b w:val="0"/>
          <w:i w:val="0"/>
          <w:color w:val="000000"/>
          <w:sz w:val="19"/>
        </w:rPr>
        <w:t>, an integer from 0 to 7 representing the student's end-of-term letter grade.</w:t>
      </w:r>
    </w:p>
    <w:p>
      <w:pPr>
        <w:spacing w:before="0" w:after="36" w:line="254" w:lineRule="auto"/>
        <w:jc w:val="both"/>
      </w:pPr>
      <w:r>
        <w:rPr>
          <w:rFonts w:ascii="Times New Roman" w:hAnsi="Times New Roman"/>
          <w:b w:val="0"/>
          <w:i w:val="0"/>
          <w:color w:val="000000"/>
          <w:sz w:val="20"/>
        </w:rPr>
        <w:t>All values in the dataset are integer-encoded. There are no floating-point, free-text, or date fields.</w:t>
      </w:r>
    </w:p>
    <w:p>
      <w:pPr>
        <w:pStyle w:val="Heading2"/>
        <w:keepNext/>
        <w:spacing w:before="120" w:after="30"/>
      </w:pPr>
      <w:r>
        <w:rPr>
          <w:rFonts w:ascii="Times New Roman" w:hAnsi="Times New Roman"/>
          <w:b/>
          <w:color w:val="1F4E78"/>
          <w:sz w:val="20"/>
        </w:rPr>
        <w:t>3.3 Feature Blocks</w:t>
      </w:r>
    </w:p>
    <w:p>
      <w:pPr>
        <w:spacing w:before="0" w:after="36" w:line="254" w:lineRule="auto"/>
        <w:jc w:val="both"/>
      </w:pPr>
      <w:r>
        <w:rPr>
          <w:rFonts w:ascii="Times New Roman" w:hAnsi="Times New Roman"/>
          <w:b w:val="0"/>
          <w:i w:val="0"/>
          <w:color w:val="000000"/>
          <w:sz w:val="20"/>
        </w:rPr>
        <w:t>The 30 survey questions naturally divide into three thematic blocks:</w:t>
      </w:r>
    </w:p>
    <w:p>
      <w:pPr>
        <w:spacing w:before="0" w:after="20" w:line="254" w:lineRule="auto"/>
        <w:ind w:left="259" w:hanging="173"/>
        <w:jc w:val="both"/>
      </w:pPr>
      <w:r>
        <w:rPr>
          <w:rFonts w:ascii="Times New Roman" w:hAnsi="Times New Roman"/>
          <w:b/>
          <w:color w:val="1F4E78"/>
          <w:sz w:val="19"/>
        </w:rPr>
        <w:t xml:space="preserve">1. </w:t>
      </w:r>
      <w:r>
        <w:rPr>
          <w:rFonts w:ascii="Times New Roman" w:hAnsi="Times New Roman"/>
          <w:b/>
          <w:i w:val="0"/>
          <w:color w:val="000000"/>
          <w:sz w:val="19"/>
        </w:rPr>
        <w:t>Personal demographics (Q1-Q10):</w:t>
      </w:r>
      <w:r>
        <w:rPr>
          <w:rFonts w:ascii="Times New Roman" w:hAnsi="Times New Roman"/>
          <w:b w:val="0"/>
          <w:i w:val="0"/>
          <w:color w:val="000000"/>
          <w:sz w:val="19"/>
        </w:rPr>
        <w:t xml:space="preserve"> Age, sex, high-school type, scholarship level, additional employment, extracurricular activity participation, romantic partnership status, monthly salary, primary transportation mode, and accommodation type.</w:t>
      </w:r>
    </w:p>
    <w:p>
      <w:pPr>
        <w:spacing w:before="0" w:after="20" w:line="254" w:lineRule="auto"/>
        <w:ind w:left="259" w:hanging="173"/>
        <w:jc w:val="both"/>
      </w:pPr>
      <w:r>
        <w:rPr>
          <w:rFonts w:ascii="Times New Roman" w:hAnsi="Times New Roman"/>
          <w:b/>
          <w:color w:val="1F4E78"/>
          <w:sz w:val="19"/>
        </w:rPr>
        <w:t xml:space="preserve">2. </w:t>
      </w:r>
      <w:r>
        <w:rPr>
          <w:rFonts w:ascii="Times New Roman" w:hAnsi="Times New Roman"/>
          <w:b/>
          <w:i w:val="0"/>
          <w:color w:val="000000"/>
          <w:sz w:val="19"/>
        </w:rPr>
        <w:t>Family background (Q11-Q16):</w:t>
      </w:r>
      <w:r>
        <w:rPr>
          <w:rFonts w:ascii="Times New Roman" w:hAnsi="Times New Roman"/>
          <w:b w:val="0"/>
          <w:i w:val="0"/>
          <w:color w:val="000000"/>
          <w:sz w:val="19"/>
        </w:rPr>
        <w:t xml:space="preserve"> Mother's education, father's education, number of siblings, parental marital status, mother's occupation, and father's occupation.</w:t>
      </w:r>
    </w:p>
    <w:p>
      <w:pPr>
        <w:spacing w:before="0" w:after="20" w:line="254" w:lineRule="auto"/>
        <w:ind w:left="259" w:hanging="173"/>
        <w:jc w:val="both"/>
      </w:pPr>
      <w:r>
        <w:rPr>
          <w:rFonts w:ascii="Times New Roman" w:hAnsi="Times New Roman"/>
          <w:b/>
          <w:color w:val="1F4E78"/>
          <w:sz w:val="19"/>
        </w:rPr>
        <w:t xml:space="preserve">3. </w:t>
      </w:r>
      <w:r>
        <w:rPr>
          <w:rFonts w:ascii="Times New Roman" w:hAnsi="Times New Roman"/>
          <w:b/>
          <w:i w:val="0"/>
          <w:color w:val="000000"/>
          <w:sz w:val="19"/>
        </w:rPr>
        <w:t>Study habits and academic engagement (Q17-Q30):</w:t>
      </w:r>
      <w:r>
        <w:rPr>
          <w:rFonts w:ascii="Times New Roman" w:hAnsi="Times New Roman"/>
          <w:b w:val="0"/>
          <w:i w:val="0"/>
          <w:color w:val="000000"/>
          <w:sz w:val="19"/>
        </w:rPr>
        <w:t xml:space="preserve"> Weekly self-study hours, non-scientific reading frequency, scientific reading frequency, seminar/conference attendance, perceived project impact, lecture attendance, midterm preparation companions, midterm preparation timing, note-taking frequency, active listening, classroom discussion participation, flipped-classroom perception, prior cumulative GPA, and expected end-of-term GPA.</w:t>
      </w:r>
    </w:p>
    <w:p>
      <w:pPr>
        <w:pStyle w:val="Heading2"/>
        <w:keepNext/>
        <w:spacing w:before="120" w:after="30"/>
      </w:pPr>
      <w:r>
        <w:rPr>
          <w:rFonts w:ascii="Times New Roman" w:hAnsi="Times New Roman"/>
          <w:b/>
          <w:color w:val="1F4E78"/>
          <w:sz w:val="20"/>
        </w:rPr>
        <w:t>3.4 Data Dictionary</w:t>
      </w:r>
    </w:p>
    <w:p>
      <w:pPr>
        <w:spacing w:before="0" w:after="36" w:line="254" w:lineRule="auto"/>
        <w:jc w:val="both"/>
      </w:pPr>
      <w:r>
        <w:rPr>
          <w:rFonts w:ascii="Times New Roman" w:hAnsi="Times New Roman"/>
          <w:b w:val="0"/>
          <w:i w:val="0"/>
          <w:color w:val="000000"/>
          <w:sz w:val="20"/>
        </w:rPr>
        <w:t>Table 1 presents the complete data dictionary. For each feature, the table lists the original column header, the renamed semantic identifier, the measurement type (nominal, ordinal, or binary), and the decoded categorical levels.</w:t>
      </w:r>
    </w:p>
    <w:p>
      <w:pPr>
        <w:spacing w:before="0" w:after="36" w:line="254" w:lineRule="auto"/>
        <w:jc w:val="both"/>
      </w:pPr>
      <w:r>
        <w:rPr>
          <w:rFonts w:ascii="Times New Roman" w:hAnsi="Times New Roman"/>
          <w:b/>
          <w:i w:val="0"/>
          <w:color w:val="000000"/>
          <w:sz w:val="20"/>
        </w:rPr>
        <w:t>Table 1. Complete Data Dictionary: Features, Types, and Categorical Levels</w:t>
      </w:r>
    </w:p>
    <w:tbl>
      <w:tblPr>
        <w:tblStyle w:val="TableGrid"/>
        <w:tblW w:type="auto" w:w="0"/>
        <w:jc w:val="center"/>
        <w:tblLook w:firstColumn="1" w:firstRow="1" w:lastColumn="0" w:lastRow="0" w:noHBand="0" w:noVBand="1" w:val="04A0"/>
      </w:tblPr>
      <w:tblGrid>
        <w:gridCol w:w="2556"/>
        <w:gridCol w:w="2556"/>
        <w:gridCol w:w="2556"/>
        <w:gridCol w:w="2556"/>
      </w:tblGrid>
      <w:tr>
        <w:trPr>
          <w:tblHeader/>
        </w:trPr>
        <w:tc>
          <w:tcPr>
            <w:tcW w:type="dxa" w:w="2304"/>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Original Header</w:t>
            </w:r>
          </w:p>
        </w:tc>
        <w:tc>
          <w:tcPr>
            <w:tcW w:type="dxa" w:w="2304"/>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Renamed Feature</w:t>
            </w:r>
          </w:p>
        </w:tc>
        <w:tc>
          <w:tcPr>
            <w:tcW w:type="dxa" w:w="1440"/>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Type</w:t>
            </w:r>
          </w:p>
        </w:tc>
        <w:tc>
          <w:tcPr>
            <w:tcW w:type="dxa" w:w="4176"/>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Decoded Levels</w:t>
            </w:r>
          </w:p>
        </w:tc>
      </w:tr>
      <w:tr>
        <w:trPr>
          <w:cantSplit/>
        </w:trPr>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STUDENT ID</w:t>
            </w: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Student_ID</w:t>
            </w:r>
          </w:p>
        </w:tc>
        <w:tc>
          <w:tcPr>
            <w:tcW w:type="dxa" w:w="144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Identifier</w:t>
            </w:r>
          </w:p>
        </w:tc>
        <w:tc>
          <w:tcPr>
            <w:tcW w:type="dxa" w:w="417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STUDENT1 - STUDENT145</w:t>
            </w:r>
          </w:p>
        </w:tc>
      </w:tr>
      <w:tr>
        <w:trPr>
          <w:cantSplit/>
        </w:trPr>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w:t>
            </w:r>
          </w:p>
        </w:tc>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Age</w:t>
            </w:r>
          </w:p>
        </w:tc>
        <w:tc>
          <w:tcPr>
            <w:tcW w:type="dxa" w:w="144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Ordinal</w:t>
            </w:r>
          </w:p>
        </w:tc>
        <w:tc>
          <w:tcPr>
            <w:tcW w:type="dxa" w:w="417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18-21, 22-25, 26+</w:t>
            </w:r>
          </w:p>
        </w:tc>
      </w:tr>
      <w:tr>
        <w:trPr>
          <w:cantSplit/>
        </w:trPr>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2</w:t>
            </w: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Sex</w:t>
            </w:r>
          </w:p>
        </w:tc>
        <w:tc>
          <w:tcPr>
            <w:tcW w:type="dxa" w:w="144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Binary</w:t>
            </w:r>
          </w:p>
        </w:tc>
        <w:tc>
          <w:tcPr>
            <w:tcW w:type="dxa" w:w="417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Female, Male</w:t>
            </w:r>
          </w:p>
        </w:tc>
      </w:tr>
      <w:tr>
        <w:trPr>
          <w:cantSplit/>
        </w:trPr>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3</w:t>
            </w:r>
          </w:p>
        </w:tc>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HS_Type</w:t>
            </w:r>
          </w:p>
        </w:tc>
        <w:tc>
          <w:tcPr>
            <w:tcW w:type="dxa" w:w="144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Nominal</w:t>
            </w:r>
          </w:p>
        </w:tc>
        <w:tc>
          <w:tcPr>
            <w:tcW w:type="dxa" w:w="417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Private, State, Other</w:t>
            </w:r>
          </w:p>
        </w:tc>
      </w:tr>
      <w:tr>
        <w:trPr>
          <w:cantSplit/>
        </w:trPr>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4</w:t>
            </w: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Scholarship</w:t>
            </w:r>
          </w:p>
        </w:tc>
        <w:tc>
          <w:tcPr>
            <w:tcW w:type="dxa" w:w="144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Ordinal</w:t>
            </w:r>
          </w:p>
        </w:tc>
        <w:tc>
          <w:tcPr>
            <w:tcW w:type="dxa" w:w="417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None, 25%, 50%, 75%, Full</w:t>
            </w:r>
          </w:p>
        </w:tc>
      </w:tr>
      <w:tr>
        <w:trPr>
          <w:cantSplit/>
        </w:trPr>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5</w:t>
            </w:r>
          </w:p>
        </w:tc>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Additional_Work</w:t>
            </w:r>
          </w:p>
        </w:tc>
        <w:tc>
          <w:tcPr>
            <w:tcW w:type="dxa" w:w="144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Binary</w:t>
            </w:r>
          </w:p>
        </w:tc>
        <w:tc>
          <w:tcPr>
            <w:tcW w:type="dxa" w:w="417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Yes, No</w:t>
            </w:r>
          </w:p>
        </w:tc>
      </w:tr>
      <w:tr>
        <w:trPr>
          <w:cantSplit/>
        </w:trPr>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6</w:t>
            </w: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Activity</w:t>
            </w:r>
          </w:p>
        </w:tc>
        <w:tc>
          <w:tcPr>
            <w:tcW w:type="dxa" w:w="144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Binary</w:t>
            </w:r>
          </w:p>
        </w:tc>
        <w:tc>
          <w:tcPr>
            <w:tcW w:type="dxa" w:w="417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Yes, No</w:t>
            </w:r>
          </w:p>
        </w:tc>
      </w:tr>
      <w:tr>
        <w:trPr>
          <w:cantSplit/>
        </w:trPr>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7</w:t>
            </w:r>
          </w:p>
        </w:tc>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Partner</w:t>
            </w:r>
          </w:p>
        </w:tc>
        <w:tc>
          <w:tcPr>
            <w:tcW w:type="dxa" w:w="144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Binary</w:t>
            </w:r>
          </w:p>
        </w:tc>
        <w:tc>
          <w:tcPr>
            <w:tcW w:type="dxa" w:w="417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Yes, No</w:t>
            </w:r>
          </w:p>
        </w:tc>
      </w:tr>
      <w:tr>
        <w:trPr>
          <w:cantSplit/>
        </w:trPr>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8</w:t>
            </w: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Salary</w:t>
            </w:r>
          </w:p>
        </w:tc>
        <w:tc>
          <w:tcPr>
            <w:tcW w:type="dxa" w:w="144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Ordinal</w:t>
            </w:r>
          </w:p>
        </w:tc>
        <w:tc>
          <w:tcPr>
            <w:tcW w:type="dxa" w:w="417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USD 135-200, 201-270, 271-340, 341-410, &gt;410</w:t>
            </w:r>
          </w:p>
        </w:tc>
      </w:tr>
      <w:tr>
        <w:trPr>
          <w:cantSplit/>
        </w:trPr>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9</w:t>
            </w:r>
          </w:p>
        </w:tc>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Transport</w:t>
            </w:r>
          </w:p>
        </w:tc>
        <w:tc>
          <w:tcPr>
            <w:tcW w:type="dxa" w:w="144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Nominal</w:t>
            </w:r>
          </w:p>
        </w:tc>
        <w:tc>
          <w:tcPr>
            <w:tcW w:type="dxa" w:w="417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Bus, Car/Taxi, Bicycle, Other</w:t>
            </w:r>
          </w:p>
        </w:tc>
      </w:tr>
      <w:tr>
        <w:trPr>
          <w:cantSplit/>
        </w:trPr>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10</w:t>
            </w: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Accommodation</w:t>
            </w:r>
          </w:p>
        </w:tc>
        <w:tc>
          <w:tcPr>
            <w:tcW w:type="dxa" w:w="144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Nominal</w:t>
            </w:r>
          </w:p>
        </w:tc>
        <w:tc>
          <w:tcPr>
            <w:tcW w:type="dxa" w:w="417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Rental, Dormitory, Family, Other</w:t>
            </w:r>
          </w:p>
        </w:tc>
      </w:tr>
      <w:tr>
        <w:trPr>
          <w:cantSplit/>
        </w:trPr>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11</w:t>
            </w:r>
          </w:p>
        </w:tc>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Mother_Edu</w:t>
            </w:r>
          </w:p>
        </w:tc>
        <w:tc>
          <w:tcPr>
            <w:tcW w:type="dxa" w:w="144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Ordinal</w:t>
            </w:r>
          </w:p>
        </w:tc>
        <w:tc>
          <w:tcPr>
            <w:tcW w:type="dxa" w:w="417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Primary, Secondary, High School, University, MSc, PhD</w:t>
            </w:r>
          </w:p>
        </w:tc>
      </w:tr>
      <w:tr>
        <w:trPr>
          <w:cantSplit/>
        </w:trPr>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12</w:t>
            </w: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Father_Edu</w:t>
            </w:r>
          </w:p>
        </w:tc>
        <w:tc>
          <w:tcPr>
            <w:tcW w:type="dxa" w:w="144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Ordinal</w:t>
            </w:r>
          </w:p>
        </w:tc>
        <w:tc>
          <w:tcPr>
            <w:tcW w:type="dxa" w:w="417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Primary, Secondary, High School, University, MSc, PhD</w:t>
            </w:r>
          </w:p>
        </w:tc>
      </w:tr>
      <w:tr>
        <w:trPr>
          <w:cantSplit/>
        </w:trPr>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13</w:t>
            </w:r>
          </w:p>
        </w:tc>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Siblings</w:t>
            </w:r>
          </w:p>
        </w:tc>
        <w:tc>
          <w:tcPr>
            <w:tcW w:type="dxa" w:w="144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Ordinal</w:t>
            </w:r>
          </w:p>
        </w:tc>
        <w:tc>
          <w:tcPr>
            <w:tcW w:type="dxa" w:w="417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 2, 3, 4, 5+</w:t>
            </w:r>
          </w:p>
        </w:tc>
      </w:tr>
      <w:tr>
        <w:trPr>
          <w:cantSplit/>
        </w:trPr>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14</w:t>
            </w: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Parental_Status</w:t>
            </w:r>
          </w:p>
        </w:tc>
        <w:tc>
          <w:tcPr>
            <w:tcW w:type="dxa" w:w="144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Nominal</w:t>
            </w:r>
          </w:p>
        </w:tc>
        <w:tc>
          <w:tcPr>
            <w:tcW w:type="dxa" w:w="417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Married, Divorced, Died</w:t>
            </w:r>
          </w:p>
        </w:tc>
      </w:tr>
      <w:tr>
        <w:trPr>
          <w:cantSplit/>
        </w:trPr>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15</w:t>
            </w:r>
          </w:p>
        </w:tc>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Mother_Occ</w:t>
            </w:r>
          </w:p>
        </w:tc>
        <w:tc>
          <w:tcPr>
            <w:tcW w:type="dxa" w:w="144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Nominal</w:t>
            </w:r>
          </w:p>
        </w:tc>
        <w:tc>
          <w:tcPr>
            <w:tcW w:type="dxa" w:w="417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Retired, Housewife, Govt Officer, Private Employee, Self-Employed</w:t>
            </w:r>
          </w:p>
        </w:tc>
      </w:tr>
      <w:tr>
        <w:trPr>
          <w:cantSplit/>
        </w:trPr>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16</w:t>
            </w: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Father_Occ</w:t>
            </w:r>
          </w:p>
        </w:tc>
        <w:tc>
          <w:tcPr>
            <w:tcW w:type="dxa" w:w="144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Nominal</w:t>
            </w:r>
          </w:p>
        </w:tc>
        <w:tc>
          <w:tcPr>
            <w:tcW w:type="dxa" w:w="417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Retired, Govt Officer, Private Employee, Self-Employed, Other</w:t>
            </w:r>
          </w:p>
        </w:tc>
      </w:tr>
      <w:tr>
        <w:trPr>
          <w:cantSplit/>
        </w:trPr>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17</w:t>
            </w:r>
          </w:p>
        </w:tc>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Study_Hours</w:t>
            </w:r>
          </w:p>
        </w:tc>
        <w:tc>
          <w:tcPr>
            <w:tcW w:type="dxa" w:w="144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Ordinal</w:t>
            </w:r>
          </w:p>
        </w:tc>
        <w:tc>
          <w:tcPr>
            <w:tcW w:type="dxa" w:w="417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None, &lt;5 hours, 6-10 hours, 11-20 hours, &gt;20 hours</w:t>
            </w:r>
          </w:p>
        </w:tc>
      </w:tr>
      <w:tr>
        <w:trPr>
          <w:cantSplit/>
        </w:trPr>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18</w:t>
            </w: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Read_NonSci</w:t>
            </w:r>
          </w:p>
        </w:tc>
        <w:tc>
          <w:tcPr>
            <w:tcW w:type="dxa" w:w="144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Ordinal</w:t>
            </w:r>
          </w:p>
        </w:tc>
        <w:tc>
          <w:tcPr>
            <w:tcW w:type="dxa" w:w="417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None, Sometimes, Often</w:t>
            </w:r>
          </w:p>
        </w:tc>
      </w:tr>
      <w:tr>
        <w:trPr>
          <w:cantSplit/>
        </w:trPr>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19</w:t>
            </w:r>
          </w:p>
        </w:tc>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Read_Sci</w:t>
            </w:r>
          </w:p>
        </w:tc>
        <w:tc>
          <w:tcPr>
            <w:tcW w:type="dxa" w:w="144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Ordinal</w:t>
            </w:r>
          </w:p>
        </w:tc>
        <w:tc>
          <w:tcPr>
            <w:tcW w:type="dxa" w:w="417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None, Sometimes, Often</w:t>
            </w:r>
          </w:p>
        </w:tc>
      </w:tr>
      <w:tr>
        <w:trPr>
          <w:cantSplit/>
        </w:trPr>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20</w:t>
            </w: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Seminars</w:t>
            </w:r>
          </w:p>
        </w:tc>
        <w:tc>
          <w:tcPr>
            <w:tcW w:type="dxa" w:w="144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Binary</w:t>
            </w:r>
          </w:p>
        </w:tc>
        <w:tc>
          <w:tcPr>
            <w:tcW w:type="dxa" w:w="417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Yes, No</w:t>
            </w:r>
          </w:p>
        </w:tc>
      </w:tr>
      <w:tr>
        <w:trPr>
          <w:cantSplit/>
        </w:trPr>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21</w:t>
            </w:r>
          </w:p>
        </w:tc>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Project_Impact</w:t>
            </w:r>
          </w:p>
        </w:tc>
        <w:tc>
          <w:tcPr>
            <w:tcW w:type="dxa" w:w="144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Nominal</w:t>
            </w:r>
          </w:p>
        </w:tc>
        <w:tc>
          <w:tcPr>
            <w:tcW w:type="dxa" w:w="417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Positive, Negative, Neutral</w:t>
            </w:r>
          </w:p>
        </w:tc>
      </w:tr>
      <w:tr>
        <w:trPr>
          <w:cantSplit/>
        </w:trPr>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22</w:t>
            </w: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Attendance</w:t>
            </w:r>
          </w:p>
        </w:tc>
        <w:tc>
          <w:tcPr>
            <w:tcW w:type="dxa" w:w="144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Ordinal</w:t>
            </w:r>
          </w:p>
        </w:tc>
        <w:tc>
          <w:tcPr>
            <w:tcW w:type="dxa" w:w="417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Always, Sometimes (code 3 "Never" has 0 occurrences)</w:t>
            </w:r>
          </w:p>
        </w:tc>
      </w:tr>
      <w:tr>
        <w:trPr>
          <w:cantSplit/>
        </w:trPr>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23</w:t>
            </w:r>
          </w:p>
        </w:tc>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Midterm</w:t>
            </w:r>
            <w:r>
              <w:rPr>
                <w:rFonts w:ascii="Times New Roman" w:hAnsi="Times New Roman"/>
                <w:b w:val="0"/>
                <w:i/>
                <w:color w:val="000000"/>
                <w:sz w:val="14"/>
              </w:rPr>
              <w:t>Prep</w:t>
            </w:r>
            <w:r>
              <w:rPr>
                <w:rFonts w:ascii="Times New Roman" w:hAnsi="Times New Roman"/>
                <w:b w:val="0"/>
                <w:i w:val="0"/>
                <w:color w:val="000000"/>
                <w:sz w:val="14"/>
              </w:rPr>
              <w:t>With</w:t>
            </w:r>
          </w:p>
        </w:tc>
        <w:tc>
          <w:tcPr>
            <w:tcW w:type="dxa" w:w="144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Nominal</w:t>
            </w:r>
          </w:p>
        </w:tc>
        <w:tc>
          <w:tcPr>
            <w:tcW w:type="dxa" w:w="417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Alone, With Friends, Not Applicable</w:t>
            </w:r>
          </w:p>
        </w:tc>
      </w:tr>
      <w:tr>
        <w:trPr>
          <w:cantSplit/>
        </w:trPr>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24</w:t>
            </w: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Midterm</w:t>
            </w:r>
            <w:r>
              <w:rPr>
                <w:rFonts w:ascii="Times New Roman" w:hAnsi="Times New Roman"/>
                <w:b w:val="0"/>
                <w:i/>
                <w:color w:val="000000"/>
                <w:sz w:val="14"/>
              </w:rPr>
              <w:t>Prep</w:t>
            </w:r>
            <w:r>
              <w:rPr>
                <w:rFonts w:ascii="Times New Roman" w:hAnsi="Times New Roman"/>
                <w:b w:val="0"/>
                <w:i w:val="0"/>
                <w:color w:val="000000"/>
                <w:sz w:val="14"/>
              </w:rPr>
              <w:t>Timing</w:t>
            </w:r>
          </w:p>
        </w:tc>
        <w:tc>
          <w:tcPr>
            <w:tcW w:type="dxa" w:w="144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Ordinal</w:t>
            </w:r>
          </w:p>
        </w:tc>
        <w:tc>
          <w:tcPr>
            <w:tcW w:type="dxa" w:w="417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Closest to Exam, Regularly, Never</w:t>
            </w:r>
          </w:p>
        </w:tc>
      </w:tr>
      <w:tr>
        <w:trPr>
          <w:cantSplit/>
        </w:trPr>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25</w:t>
            </w:r>
          </w:p>
        </w:tc>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Note_Taking</w:t>
            </w:r>
          </w:p>
        </w:tc>
        <w:tc>
          <w:tcPr>
            <w:tcW w:type="dxa" w:w="144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Ordinal</w:t>
            </w:r>
          </w:p>
        </w:tc>
        <w:tc>
          <w:tcPr>
            <w:tcW w:type="dxa" w:w="417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Never, Sometimes, Always</w:t>
            </w:r>
          </w:p>
        </w:tc>
      </w:tr>
      <w:tr>
        <w:trPr>
          <w:cantSplit/>
        </w:trPr>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26</w:t>
            </w: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Listening</w:t>
            </w:r>
          </w:p>
        </w:tc>
        <w:tc>
          <w:tcPr>
            <w:tcW w:type="dxa" w:w="144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Ordinal</w:t>
            </w:r>
          </w:p>
        </w:tc>
        <w:tc>
          <w:tcPr>
            <w:tcW w:type="dxa" w:w="417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Never, Sometimes, Always</w:t>
            </w:r>
          </w:p>
        </w:tc>
      </w:tr>
      <w:tr>
        <w:trPr>
          <w:cantSplit/>
        </w:trPr>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27</w:t>
            </w:r>
          </w:p>
        </w:tc>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Discussion</w:t>
            </w:r>
          </w:p>
        </w:tc>
        <w:tc>
          <w:tcPr>
            <w:tcW w:type="dxa" w:w="144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Ordinal</w:t>
            </w:r>
          </w:p>
        </w:tc>
        <w:tc>
          <w:tcPr>
            <w:tcW w:type="dxa" w:w="417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Never, Sometimes, Always</w:t>
            </w:r>
          </w:p>
        </w:tc>
      </w:tr>
      <w:tr>
        <w:trPr>
          <w:cantSplit/>
        </w:trPr>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28</w:t>
            </w: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Flip_Classroom</w:t>
            </w:r>
          </w:p>
        </w:tc>
        <w:tc>
          <w:tcPr>
            <w:tcW w:type="dxa" w:w="144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Nominal</w:t>
            </w:r>
          </w:p>
        </w:tc>
        <w:tc>
          <w:tcPr>
            <w:tcW w:type="dxa" w:w="417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Not Useful, Useful, Not Applicable</w:t>
            </w:r>
          </w:p>
        </w:tc>
      </w:tr>
      <w:tr>
        <w:trPr>
          <w:cantSplit/>
        </w:trPr>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29</w:t>
            </w:r>
          </w:p>
        </w:tc>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GPA_Last</w:t>
            </w:r>
          </w:p>
        </w:tc>
        <w:tc>
          <w:tcPr>
            <w:tcW w:type="dxa" w:w="144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Ordinal</w:t>
            </w:r>
          </w:p>
        </w:tc>
        <w:tc>
          <w:tcPr>
            <w:tcW w:type="dxa" w:w="417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&lt;2.00, 2.00-2.49, 2.50-2.99, 3.00-3.49, &gt;3.49</w:t>
            </w:r>
          </w:p>
        </w:tc>
      </w:tr>
      <w:tr>
        <w:trPr>
          <w:cantSplit/>
        </w:trPr>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30</w:t>
            </w: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GPA_Expected</w:t>
            </w:r>
          </w:p>
        </w:tc>
        <w:tc>
          <w:tcPr>
            <w:tcW w:type="dxa" w:w="144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Ordinal</w:t>
            </w:r>
          </w:p>
        </w:tc>
        <w:tc>
          <w:tcPr>
            <w:tcW w:type="dxa" w:w="417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&lt;2.00, 2.00-2.49, 2.50-2.99, 3.00-3.49 (code 5 &gt;3.49 has 0 occurrences)</w:t>
            </w:r>
          </w:p>
        </w:tc>
      </w:tr>
      <w:tr>
        <w:trPr>
          <w:cantSplit/>
        </w:trPr>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COURSE ID</w:t>
            </w:r>
          </w:p>
        </w:tc>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Course_ID</w:t>
            </w:r>
          </w:p>
        </w:tc>
        <w:tc>
          <w:tcPr>
            <w:tcW w:type="dxa" w:w="144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Nominal</w:t>
            </w:r>
          </w:p>
        </w:tc>
        <w:tc>
          <w:tcPr>
            <w:tcW w:type="dxa" w:w="417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Course 1 - Course 9</w:t>
            </w:r>
          </w:p>
        </w:tc>
      </w:tr>
      <w:tr>
        <w:trPr>
          <w:cantSplit/>
        </w:trPr>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GRADE</w:t>
            </w: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Grade</w:t>
            </w:r>
          </w:p>
        </w:tc>
        <w:tc>
          <w:tcPr>
            <w:tcW w:type="dxa" w:w="144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Ordinal (Target)</w:t>
            </w:r>
          </w:p>
        </w:tc>
        <w:tc>
          <w:tcPr>
            <w:tcW w:type="dxa" w:w="417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 Fail, 1: DD, 2: DC, 3: CC, 4: CB, 5: BB, 6: BA, 7: AA</w:t>
            </w:r>
          </w:p>
        </w:tc>
      </w:tr>
    </w:tbl>
    <w:p>
      <w:pPr>
        <w:spacing w:before="0" w:after="40"/>
      </w:pPr>
    </w:p>
    <w:p>
      <w:pPr>
        <w:pStyle w:val="Heading2"/>
        <w:keepNext/>
        <w:spacing w:before="120" w:after="30"/>
      </w:pPr>
      <w:r>
        <w:rPr>
          <w:rFonts w:ascii="Times New Roman" w:hAnsi="Times New Roman"/>
          <w:b/>
          <w:color w:val="1F4E78"/>
          <w:sz w:val="20"/>
        </w:rPr>
        <w:t>3.5 Target Variable Distribution</w:t>
      </w:r>
    </w:p>
    <w:p>
      <w:pPr>
        <w:spacing w:before="0" w:after="36" w:line="254" w:lineRule="auto"/>
        <w:jc w:val="both"/>
      </w:pPr>
      <w:r>
        <w:rPr>
          <w:rFonts w:ascii="Times New Roman" w:hAnsi="Times New Roman"/>
          <w:b w:val="0"/>
          <w:i w:val="0"/>
          <w:color w:val="000000"/>
          <w:sz w:val="20"/>
        </w:rPr>
        <w:t xml:space="preserve">The target variable </w:t>
      </w:r>
      <w:r>
        <w:rPr>
          <w:rFonts w:ascii="Consolas" w:hAnsi="Consolas"/>
          <w:b w:val="0"/>
          <w:i w:val="0"/>
          <w:color w:val="1E293B"/>
          <w:sz w:val="17"/>
        </w:rPr>
        <w:t>GRADE</w:t>
      </w:r>
      <w:r>
        <w:rPr>
          <w:rFonts w:ascii="Times New Roman" w:hAnsi="Times New Roman"/>
          <w:b w:val="0"/>
          <w:i w:val="0"/>
          <w:color w:val="000000"/>
          <w:sz w:val="20"/>
        </w:rPr>
        <w:t xml:space="preserve"> takes eight integer values from 0 (Fail) to 7 (AA). Table 2 presents the complete distribution.</w:t>
      </w:r>
    </w:p>
    <w:p>
      <w:pPr>
        <w:spacing w:before="0" w:after="36" w:line="254" w:lineRule="auto"/>
        <w:jc w:val="both"/>
      </w:pPr>
      <w:r>
        <w:rPr>
          <w:rFonts w:ascii="Times New Roman" w:hAnsi="Times New Roman"/>
          <w:b/>
          <w:i w:val="0"/>
          <w:color w:val="000000"/>
          <w:sz w:val="20"/>
        </w:rPr>
        <w:t>Table 2. Target Variable (GRADE) Distribution: Counts and Percentages</w:t>
      </w:r>
    </w:p>
    <w:tbl>
      <w:tblPr>
        <w:tblStyle w:val="TableGrid"/>
        <w:tblW w:type="auto" w:w="0"/>
        <w:jc w:val="center"/>
        <w:tblLook w:firstColumn="1" w:firstRow="1" w:lastColumn="0" w:lastRow="0" w:noHBand="0" w:noVBand="1" w:val="04A0"/>
      </w:tblPr>
      <w:tblGrid>
        <w:gridCol w:w="2556"/>
        <w:gridCol w:w="2556"/>
        <w:gridCol w:w="2556"/>
        <w:gridCol w:w="2556"/>
      </w:tblGrid>
      <w:tr>
        <w:trPr>
          <w:tblHeader/>
        </w:trPr>
        <w:tc>
          <w:tcPr>
            <w:tcW w:type="dxa" w:w="1872"/>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center"/>
            </w:pPr>
            <w:r>
              <w:rPr>
                <w:rFonts w:ascii="Times New Roman" w:hAnsi="Times New Roman"/>
                <w:b/>
                <w:i w:val="0"/>
                <w:color w:val="FFFFFF"/>
                <w:sz w:val="15"/>
              </w:rPr>
              <w:t>Grade Code</w:t>
            </w:r>
          </w:p>
        </w:tc>
        <w:tc>
          <w:tcPr>
            <w:tcW w:type="dxa" w:w="3168"/>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Letter Grade</w:t>
            </w:r>
          </w:p>
        </w:tc>
        <w:tc>
          <w:tcPr>
            <w:tcW w:type="dxa" w:w="2304"/>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center"/>
            </w:pPr>
            <w:r>
              <w:rPr>
                <w:rFonts w:ascii="Times New Roman" w:hAnsi="Times New Roman"/>
                <w:b/>
                <w:i w:val="0"/>
                <w:color w:val="FFFFFF"/>
                <w:sz w:val="15"/>
              </w:rPr>
              <w:t>Count</w:t>
            </w:r>
          </w:p>
        </w:tc>
        <w:tc>
          <w:tcPr>
            <w:tcW w:type="dxa" w:w="2880"/>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Percentage</w:t>
            </w:r>
          </w:p>
        </w:tc>
      </w:tr>
      <w:tr>
        <w:trPr>
          <w:cantSplit/>
        </w:trPr>
        <w:tc>
          <w:tcPr>
            <w:tcW w:type="dxa" w:w="187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w:t>
            </w:r>
          </w:p>
        </w:tc>
        <w:tc>
          <w:tcPr>
            <w:tcW w:type="dxa" w:w="316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Fail</w:t>
            </w: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8</w:t>
            </w:r>
          </w:p>
        </w:tc>
        <w:tc>
          <w:tcPr>
            <w:tcW w:type="dxa" w:w="288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5.5%</w:t>
            </w:r>
          </w:p>
        </w:tc>
      </w:tr>
      <w:tr>
        <w:trPr>
          <w:cantSplit/>
        </w:trPr>
        <w:tc>
          <w:tcPr>
            <w:tcW w:type="dxa" w:w="187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w:t>
            </w:r>
          </w:p>
        </w:tc>
        <w:tc>
          <w:tcPr>
            <w:tcW w:type="dxa" w:w="3168"/>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DD</w:t>
            </w:r>
          </w:p>
        </w:tc>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35</w:t>
            </w:r>
          </w:p>
        </w:tc>
        <w:tc>
          <w:tcPr>
            <w:tcW w:type="dxa" w:w="288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24.1%</w:t>
            </w:r>
          </w:p>
        </w:tc>
      </w:tr>
      <w:tr>
        <w:trPr>
          <w:cantSplit/>
        </w:trPr>
        <w:tc>
          <w:tcPr>
            <w:tcW w:type="dxa" w:w="187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2</w:t>
            </w:r>
          </w:p>
        </w:tc>
        <w:tc>
          <w:tcPr>
            <w:tcW w:type="dxa" w:w="316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DC</w:t>
            </w: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24</w:t>
            </w:r>
          </w:p>
        </w:tc>
        <w:tc>
          <w:tcPr>
            <w:tcW w:type="dxa" w:w="288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16.6%</w:t>
            </w:r>
          </w:p>
        </w:tc>
      </w:tr>
      <w:tr>
        <w:trPr>
          <w:cantSplit/>
        </w:trPr>
        <w:tc>
          <w:tcPr>
            <w:tcW w:type="dxa" w:w="187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3</w:t>
            </w:r>
          </w:p>
        </w:tc>
        <w:tc>
          <w:tcPr>
            <w:tcW w:type="dxa" w:w="3168"/>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CC</w:t>
            </w:r>
          </w:p>
        </w:tc>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21</w:t>
            </w:r>
          </w:p>
        </w:tc>
        <w:tc>
          <w:tcPr>
            <w:tcW w:type="dxa" w:w="288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14.5%</w:t>
            </w:r>
          </w:p>
        </w:tc>
      </w:tr>
      <w:tr>
        <w:trPr>
          <w:cantSplit/>
        </w:trPr>
        <w:tc>
          <w:tcPr>
            <w:tcW w:type="dxa" w:w="187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4</w:t>
            </w:r>
          </w:p>
        </w:tc>
        <w:tc>
          <w:tcPr>
            <w:tcW w:type="dxa" w:w="316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CB</w:t>
            </w: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10</w:t>
            </w:r>
          </w:p>
        </w:tc>
        <w:tc>
          <w:tcPr>
            <w:tcW w:type="dxa" w:w="288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6.9%</w:t>
            </w:r>
          </w:p>
        </w:tc>
      </w:tr>
      <w:tr>
        <w:trPr>
          <w:cantSplit/>
        </w:trPr>
        <w:tc>
          <w:tcPr>
            <w:tcW w:type="dxa" w:w="187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5</w:t>
            </w:r>
          </w:p>
        </w:tc>
        <w:tc>
          <w:tcPr>
            <w:tcW w:type="dxa" w:w="3168"/>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BB</w:t>
            </w:r>
          </w:p>
        </w:tc>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17</w:t>
            </w:r>
          </w:p>
        </w:tc>
        <w:tc>
          <w:tcPr>
            <w:tcW w:type="dxa" w:w="288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11.7%</w:t>
            </w:r>
          </w:p>
        </w:tc>
      </w:tr>
      <w:tr>
        <w:trPr>
          <w:cantSplit/>
        </w:trPr>
        <w:tc>
          <w:tcPr>
            <w:tcW w:type="dxa" w:w="187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6</w:t>
            </w:r>
          </w:p>
        </w:tc>
        <w:tc>
          <w:tcPr>
            <w:tcW w:type="dxa" w:w="316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BA</w:t>
            </w: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13</w:t>
            </w:r>
          </w:p>
        </w:tc>
        <w:tc>
          <w:tcPr>
            <w:tcW w:type="dxa" w:w="288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9.0%</w:t>
            </w:r>
          </w:p>
        </w:tc>
      </w:tr>
      <w:tr>
        <w:trPr>
          <w:cantSplit/>
        </w:trPr>
        <w:tc>
          <w:tcPr>
            <w:tcW w:type="dxa" w:w="187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7</w:t>
            </w:r>
          </w:p>
        </w:tc>
        <w:tc>
          <w:tcPr>
            <w:tcW w:type="dxa" w:w="3168"/>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AA</w:t>
            </w:r>
          </w:p>
        </w:tc>
        <w:tc>
          <w:tcPr>
            <w:tcW w:type="dxa" w:w="230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17</w:t>
            </w:r>
          </w:p>
        </w:tc>
        <w:tc>
          <w:tcPr>
            <w:tcW w:type="dxa" w:w="288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11.7%</w:t>
            </w:r>
          </w:p>
        </w:tc>
      </w:tr>
      <w:tr>
        <w:trPr>
          <w:cantSplit/>
        </w:trPr>
        <w:tc>
          <w:tcPr>
            <w:tcW w:type="dxa" w:w="187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i w:val="0"/>
                <w:color w:val="000000"/>
                <w:sz w:val="14"/>
              </w:rPr>
              <w:t>Total</w:t>
            </w:r>
          </w:p>
        </w:tc>
        <w:tc>
          <w:tcPr>
            <w:tcW w:type="dxa" w:w="316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p>
        </w:tc>
        <w:tc>
          <w:tcPr>
            <w:tcW w:type="dxa" w:w="230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i w:val="0"/>
                <w:color w:val="000000"/>
                <w:sz w:val="14"/>
              </w:rPr>
              <w:t>145</w:t>
            </w:r>
          </w:p>
        </w:tc>
        <w:tc>
          <w:tcPr>
            <w:tcW w:type="dxa" w:w="288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i w:val="0"/>
                <w:color w:val="000000"/>
                <w:sz w:val="14"/>
              </w:rPr>
              <w:t>100.0%</w:t>
            </w:r>
          </w:p>
        </w:tc>
      </w:tr>
    </w:tbl>
    <w:p>
      <w:pPr>
        <w:spacing w:before="0" w:after="40"/>
      </w:pPr>
    </w:p>
    <w:p>
      <w:pPr>
        <w:spacing w:before="0" w:after="36" w:line="254" w:lineRule="auto"/>
        <w:jc w:val="both"/>
      </w:pPr>
      <w:r>
        <w:rPr>
          <w:rFonts w:ascii="Times New Roman" w:hAnsi="Times New Roman"/>
          <w:b w:val="0"/>
          <w:i w:val="0"/>
          <w:color w:val="000000"/>
          <w:sz w:val="20"/>
        </w:rPr>
        <w:t>The distribution exhibits notable characteristics. The modal grade is DD (code 1) with 35 students (24.1%), indicating that nearly one-quarter of the cohort achieved the lowest passing mark. A secondary clustering appears at the top of the scale: BB (17 students, 11.7%) and AA (17 students, 11.7%) together constitute 23.4% of the sample. The mean grade is 3.228 and the median is 3 (CC), with a sample variance of 4.830 and a standard deviation of 2.198. The distribution is thus bimodal rather than unimodal, which has important implications for probability distribution fitting (see Section 5.3).</w:t>
      </w:r>
    </w:p>
    <w:p>
      <w:pPr>
        <w:pStyle w:val="Heading2"/>
        <w:keepNext/>
        <w:spacing w:before="120" w:after="30"/>
      </w:pPr>
      <w:r>
        <w:rPr>
          <w:rFonts w:ascii="Times New Roman" w:hAnsi="Times New Roman"/>
          <w:b/>
          <w:color w:val="1F4E78"/>
          <w:sz w:val="20"/>
        </w:rPr>
        <w:t>3.6 Grade_Group Target Tier Definition</w:t>
      </w:r>
    </w:p>
    <w:p>
      <w:pPr>
        <w:spacing w:before="0" w:after="36" w:line="254" w:lineRule="auto"/>
        <w:jc w:val="both"/>
      </w:pPr>
      <w:r>
        <w:rPr>
          <w:rFonts w:ascii="Times New Roman" w:hAnsi="Times New Roman"/>
          <w:b w:val="0"/>
          <w:i w:val="0"/>
          <w:color w:val="000000"/>
          <w:sz w:val="20"/>
        </w:rPr>
        <w:t>For classification modelling, the eight-class target was consolidated into three ordinal tiers, as shown in Table 3.</w:t>
      </w:r>
    </w:p>
    <w:p>
      <w:pPr>
        <w:spacing w:before="0" w:after="36" w:line="254" w:lineRule="auto"/>
        <w:jc w:val="both"/>
      </w:pPr>
      <w:r>
        <w:rPr>
          <w:rFonts w:ascii="Times New Roman" w:hAnsi="Times New Roman"/>
          <w:b/>
          <w:i w:val="0"/>
          <w:color w:val="000000"/>
          <w:sz w:val="20"/>
        </w:rPr>
        <w:t>Table 3. Grade_Group Target Tier Definition and Class Frequencies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trPr>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Grade_Group</w:t>
            </w:r>
          </w:p>
        </w:tc>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Constituent Grades</w:t>
            </w:r>
          </w:p>
        </w:tc>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Interpretation</w:t>
            </w:r>
          </w:p>
        </w:tc>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center"/>
            </w:pPr>
            <w:r>
              <w:rPr>
                <w:rFonts w:ascii="Times New Roman" w:hAnsi="Times New Roman"/>
                <w:b/>
                <w:i w:val="0"/>
                <w:color w:val="FFFFFF"/>
                <w:sz w:val="15"/>
              </w:rPr>
              <w:t>Count (n)</w:t>
            </w:r>
          </w:p>
        </w:tc>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Percentage</w:t>
            </w:r>
          </w:p>
        </w:tc>
      </w:tr>
      <w:tr>
        <w:trPr>
          <w:cantSplit/>
        </w:trPr>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Low</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0 (Fail), 1 (DD), 2 (DC)</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Below-average attainment</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67</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46.2%</w:t>
            </w:r>
          </w:p>
        </w:tc>
      </w:tr>
      <w:tr>
        <w:trPr>
          <w:cantSplit/>
        </w:trPr>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Medium</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3 (CC), 4 (CB)</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Average attainment</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31</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21.4%</w:t>
            </w:r>
          </w:p>
        </w:tc>
      </w:tr>
      <w:tr>
        <w:trPr>
          <w:cantSplit/>
        </w:trPr>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High</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5 (BB), 6 (BA), 7 (AA)</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Above-average attainment</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47</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32.4%</w:t>
            </w:r>
          </w:p>
        </w:tc>
      </w:tr>
    </w:tbl>
    <w:p>
      <w:pPr>
        <w:spacing w:before="0" w:after="40"/>
      </w:pPr>
    </w:p>
    <w:p>
      <w:pPr>
        <w:spacing w:before="0" w:after="36" w:line="254" w:lineRule="auto"/>
        <w:jc w:val="both"/>
      </w:pPr>
      <w:r>
        <w:rPr>
          <w:rFonts w:ascii="Times New Roman" w:hAnsi="Times New Roman"/>
          <w:b w:val="0"/>
          <w:i w:val="0"/>
          <w:color w:val="000000"/>
          <w:sz w:val="20"/>
        </w:rPr>
        <w:t>The Low tier is the largest class (46.2%), followed by High (32.4%) and Medium (21.4%). This class imbalance necessitates balanced class weighting during model training and the use of macro-averaged evaluation metrics to avoid majority-class bias.</w:t>
      </w:r>
    </w:p>
    <w:p>
      <w:pPr>
        <w:spacing w:before="0" w:after="36" w:line="254" w:lineRule="auto"/>
        <w:jc w:val="both"/>
      </w:pPr>
      <w:r>
        <w:rPr>
          <w:rFonts w:ascii="Times New Roman" w:hAnsi="Times New Roman"/>
          <w:b w:val="0"/>
          <w:i w:val="0"/>
          <w:color w:val="000000"/>
          <w:sz w:val="20"/>
        </w:rPr>
        <w:t xml:space="preserve">Additionally, a binary </w:t>
      </w:r>
      <w:r>
        <w:rPr>
          <w:rFonts w:ascii="Times New Roman" w:hAnsi="Times New Roman"/>
          <w:b/>
          <w:i w:val="0"/>
          <w:color w:val="000000"/>
          <w:sz w:val="20"/>
        </w:rPr>
        <w:t>Pass</w:t>
      </w:r>
      <w:r>
        <w:rPr>
          <w:rFonts w:ascii="Times New Roman" w:hAnsi="Times New Roman"/>
          <w:b w:val="0"/>
          <w:i w:val="0"/>
          <w:color w:val="000000"/>
          <w:sz w:val="20"/>
        </w:rPr>
        <w:t xml:space="preserve"> flag was created: Pass = 1 if Grade &gt;= 1 (i.e., any letter grade above Fail), and Pass = 0 otherwise. The pass rate is 94.5% (137 of 145 students), with a 95% Wilson score confidence interval of [89.5%, 97.2%].</w:t>
      </w:r>
    </w:p>
    <w:p>
      <w:pPr>
        <w:pStyle w:val="Heading2"/>
        <w:keepNext/>
        <w:spacing w:before="120" w:after="30"/>
      </w:pPr>
      <w:r>
        <w:rPr>
          <w:rFonts w:ascii="Times New Roman" w:hAnsi="Times New Roman"/>
          <w:b/>
          <w:color w:val="1F4E78"/>
          <w:sz w:val="20"/>
        </w:rPr>
        <w:t>3.7 Course Distribution</w:t>
      </w:r>
    </w:p>
    <w:p>
      <w:pPr>
        <w:spacing w:before="0" w:after="36" w:line="254" w:lineRule="auto"/>
        <w:jc w:val="both"/>
      </w:pPr>
      <w:r>
        <w:rPr>
          <w:rFonts w:ascii="Times New Roman" w:hAnsi="Times New Roman"/>
          <w:b w:val="0"/>
          <w:i w:val="0"/>
          <w:color w:val="000000"/>
          <w:sz w:val="20"/>
        </w:rPr>
        <w:t>Table 4 presents the enrolment distribution across the nine course offerings.</w:t>
      </w:r>
    </w:p>
    <w:p>
      <w:pPr>
        <w:spacing w:before="0" w:after="36" w:line="254" w:lineRule="auto"/>
        <w:jc w:val="both"/>
      </w:pPr>
      <w:r>
        <w:rPr>
          <w:rFonts w:ascii="Times New Roman" w:hAnsi="Times New Roman"/>
          <w:b/>
          <w:i w:val="0"/>
          <w:color w:val="000000"/>
          <w:sz w:val="20"/>
        </w:rPr>
        <w:t>Table 4. Course ID Enrolment Distribution</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2592"/>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Course ID</w:t>
            </w:r>
          </w:p>
        </w:tc>
        <w:tc>
          <w:tcPr>
            <w:tcW w:type="dxa" w:w="3744"/>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center"/>
            </w:pPr>
            <w:r>
              <w:rPr>
                <w:rFonts w:ascii="Times New Roman" w:hAnsi="Times New Roman"/>
                <w:b/>
                <w:i w:val="0"/>
                <w:color w:val="FFFFFF"/>
                <w:sz w:val="15"/>
              </w:rPr>
              <w:t>Student Count</w:t>
            </w:r>
          </w:p>
        </w:tc>
        <w:tc>
          <w:tcPr>
            <w:tcW w:type="dxa" w:w="3888"/>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Percentage</w:t>
            </w:r>
          </w:p>
        </w:tc>
      </w:tr>
      <w:tr>
        <w:trPr>
          <w:cantSplit/>
        </w:trPr>
        <w:tc>
          <w:tcPr>
            <w:tcW w:type="dxa" w:w="259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w:t>
            </w:r>
          </w:p>
        </w:tc>
        <w:tc>
          <w:tcPr>
            <w:tcW w:type="dxa" w:w="374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66</w:t>
            </w:r>
          </w:p>
        </w:tc>
        <w:tc>
          <w:tcPr>
            <w:tcW w:type="dxa" w:w="388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45.5%</w:t>
            </w:r>
          </w:p>
        </w:tc>
      </w:tr>
      <w:tr>
        <w:trPr>
          <w:cantSplit/>
        </w:trPr>
        <w:tc>
          <w:tcPr>
            <w:tcW w:type="dxa" w:w="259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2</w:t>
            </w:r>
          </w:p>
        </w:tc>
        <w:tc>
          <w:tcPr>
            <w:tcW w:type="dxa" w:w="374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2</w:t>
            </w:r>
          </w:p>
        </w:tc>
        <w:tc>
          <w:tcPr>
            <w:tcW w:type="dxa" w:w="3888"/>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1.4%</w:t>
            </w:r>
          </w:p>
        </w:tc>
      </w:tr>
      <w:tr>
        <w:trPr>
          <w:cantSplit/>
        </w:trPr>
        <w:tc>
          <w:tcPr>
            <w:tcW w:type="dxa" w:w="259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3</w:t>
            </w:r>
          </w:p>
        </w:tc>
        <w:tc>
          <w:tcPr>
            <w:tcW w:type="dxa" w:w="374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8</w:t>
            </w:r>
          </w:p>
        </w:tc>
        <w:tc>
          <w:tcPr>
            <w:tcW w:type="dxa" w:w="388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5.5%</w:t>
            </w:r>
          </w:p>
        </w:tc>
      </w:tr>
      <w:tr>
        <w:trPr>
          <w:cantSplit/>
        </w:trPr>
        <w:tc>
          <w:tcPr>
            <w:tcW w:type="dxa" w:w="259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4</w:t>
            </w:r>
          </w:p>
        </w:tc>
        <w:tc>
          <w:tcPr>
            <w:tcW w:type="dxa" w:w="374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4</w:t>
            </w:r>
          </w:p>
        </w:tc>
        <w:tc>
          <w:tcPr>
            <w:tcW w:type="dxa" w:w="3888"/>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2.8%</w:t>
            </w:r>
          </w:p>
        </w:tc>
      </w:tr>
      <w:tr>
        <w:trPr>
          <w:cantSplit/>
        </w:trPr>
        <w:tc>
          <w:tcPr>
            <w:tcW w:type="dxa" w:w="259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5</w:t>
            </w:r>
          </w:p>
        </w:tc>
        <w:tc>
          <w:tcPr>
            <w:tcW w:type="dxa" w:w="374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7</w:t>
            </w:r>
          </w:p>
        </w:tc>
        <w:tc>
          <w:tcPr>
            <w:tcW w:type="dxa" w:w="388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4.8%</w:t>
            </w:r>
          </w:p>
        </w:tc>
      </w:tr>
      <w:tr>
        <w:trPr>
          <w:cantSplit/>
        </w:trPr>
        <w:tc>
          <w:tcPr>
            <w:tcW w:type="dxa" w:w="259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6</w:t>
            </w:r>
          </w:p>
        </w:tc>
        <w:tc>
          <w:tcPr>
            <w:tcW w:type="dxa" w:w="374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8</w:t>
            </w:r>
          </w:p>
        </w:tc>
        <w:tc>
          <w:tcPr>
            <w:tcW w:type="dxa" w:w="3888"/>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5.5%</w:t>
            </w:r>
          </w:p>
        </w:tc>
      </w:tr>
      <w:tr>
        <w:trPr>
          <w:cantSplit/>
        </w:trPr>
        <w:tc>
          <w:tcPr>
            <w:tcW w:type="dxa" w:w="259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7</w:t>
            </w:r>
          </w:p>
        </w:tc>
        <w:tc>
          <w:tcPr>
            <w:tcW w:type="dxa" w:w="374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15</w:t>
            </w:r>
          </w:p>
        </w:tc>
        <w:tc>
          <w:tcPr>
            <w:tcW w:type="dxa" w:w="388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10.3%</w:t>
            </w:r>
          </w:p>
        </w:tc>
      </w:tr>
      <w:tr>
        <w:trPr>
          <w:cantSplit/>
        </w:trPr>
        <w:tc>
          <w:tcPr>
            <w:tcW w:type="dxa" w:w="259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8</w:t>
            </w:r>
          </w:p>
        </w:tc>
        <w:tc>
          <w:tcPr>
            <w:tcW w:type="dxa" w:w="374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14</w:t>
            </w:r>
          </w:p>
        </w:tc>
        <w:tc>
          <w:tcPr>
            <w:tcW w:type="dxa" w:w="3888"/>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9.7%</w:t>
            </w:r>
          </w:p>
        </w:tc>
      </w:tr>
      <w:tr>
        <w:trPr>
          <w:cantSplit/>
        </w:trPr>
        <w:tc>
          <w:tcPr>
            <w:tcW w:type="dxa" w:w="259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9</w:t>
            </w:r>
          </w:p>
        </w:tc>
        <w:tc>
          <w:tcPr>
            <w:tcW w:type="dxa" w:w="374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21</w:t>
            </w:r>
          </w:p>
        </w:tc>
        <w:tc>
          <w:tcPr>
            <w:tcW w:type="dxa" w:w="388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14.5%</w:t>
            </w:r>
          </w:p>
        </w:tc>
      </w:tr>
    </w:tbl>
    <w:p>
      <w:pPr>
        <w:spacing w:before="0" w:after="40"/>
      </w:pPr>
    </w:p>
    <w:p>
      <w:pPr>
        <w:spacing w:before="0" w:after="36" w:line="254" w:lineRule="auto"/>
        <w:jc w:val="both"/>
      </w:pPr>
      <w:r>
        <w:rPr>
          <w:rFonts w:ascii="Times New Roman" w:hAnsi="Times New Roman"/>
          <w:b w:val="0"/>
          <w:i w:val="0"/>
          <w:color w:val="000000"/>
          <w:sz w:val="20"/>
        </w:rPr>
        <w:t>Course 1 accounts for nearly half of the dataset (45.5%), while Course 2 contains only two students. The strong association between course assignment and grade outcome is discussed in detail in Section 5.4: all 14 students in Course 8 received a grade of DC or below, while 13 of the 15 students in Course 7 attained BA or AA. This institutional confounding was treated explicitly through ablation modelling (Section 7).</w:t>
      </w:r>
    </w:p>
    <w:p>
      <w:pPr>
        <w:pStyle w:val="Heading2"/>
        <w:keepNext/>
        <w:spacing w:before="120" w:after="30"/>
      </w:pPr>
      <w:r>
        <w:rPr>
          <w:rFonts w:ascii="Times New Roman" w:hAnsi="Times New Roman"/>
          <w:b/>
          <w:color w:val="1F4E78"/>
          <w:sz w:val="20"/>
        </w:rPr>
        <w:t>3.8 Data Quality Summary</w:t>
      </w:r>
    </w:p>
    <w:p>
      <w:pPr>
        <w:spacing w:before="0" w:after="36" w:line="254" w:lineRule="auto"/>
        <w:jc w:val="both"/>
      </w:pPr>
      <w:r>
        <w:rPr>
          <w:rFonts w:ascii="Times New Roman" w:hAnsi="Times New Roman"/>
          <w:b w:val="0"/>
          <w:i w:val="0"/>
          <w:color w:val="000000"/>
          <w:sz w:val="20"/>
        </w:rPr>
        <w:t>Table 5 summarises the data quality audit.</w:t>
      </w:r>
    </w:p>
    <w:p>
      <w:pPr>
        <w:spacing w:before="0" w:after="36" w:line="254" w:lineRule="auto"/>
        <w:jc w:val="both"/>
      </w:pPr>
      <w:r>
        <w:rPr>
          <w:rFonts w:ascii="Times New Roman" w:hAnsi="Times New Roman"/>
          <w:b/>
          <w:i w:val="0"/>
          <w:color w:val="000000"/>
          <w:sz w:val="20"/>
        </w:rPr>
        <w:t>Table 5. Data Quality Audit Summary</w:t>
      </w:r>
    </w:p>
    <w:tbl>
      <w:tblPr>
        <w:tblStyle w:val="TableGrid"/>
        <w:tblW w:type="auto" w:w="0"/>
        <w:jc w:val="center"/>
        <w:tblLook w:firstColumn="1" w:firstRow="1" w:lastColumn="0" w:lastRow="0" w:noHBand="0" w:noVBand="1" w:val="04A0"/>
      </w:tblPr>
      <w:tblGrid>
        <w:gridCol w:w="5112"/>
        <w:gridCol w:w="5112"/>
      </w:tblGrid>
      <w:tr>
        <w:trPr>
          <w:tblHeader/>
        </w:trPr>
        <w:tc>
          <w:tcPr>
            <w:tcW w:type="dxa" w:w="2736"/>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Quality Dimension</w:t>
            </w:r>
          </w:p>
        </w:tc>
        <w:tc>
          <w:tcPr>
            <w:tcW w:type="dxa" w:w="7488"/>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Finding</w:t>
            </w:r>
          </w:p>
        </w:tc>
      </w:tr>
      <w:tr>
        <w:trPr>
          <w:cantSplit/>
        </w:trPr>
        <w:tc>
          <w:tcPr>
            <w:tcW w:type="dxa" w:w="273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Missing values</w:t>
            </w:r>
          </w:p>
        </w:tc>
        <w:tc>
          <w:tcPr>
            <w:tcW w:type="dxa" w:w="748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0 across all 33 columns (100% complete)</w:t>
            </w:r>
          </w:p>
        </w:tc>
      </w:tr>
      <w:tr>
        <w:trPr>
          <w:cantSplit/>
        </w:trPr>
        <w:tc>
          <w:tcPr>
            <w:tcW w:type="dxa" w:w="273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Duplicate rows (full matrix)</w:t>
            </w:r>
          </w:p>
        </w:tc>
        <w:tc>
          <w:tcPr>
            <w:tcW w:type="dxa" w:w="7488"/>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0</w:t>
            </w:r>
          </w:p>
        </w:tc>
      </w:tr>
      <w:tr>
        <w:trPr>
          <w:cantSplit/>
        </w:trPr>
        <w:tc>
          <w:tcPr>
            <w:tcW w:type="dxa" w:w="273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Duplicate rows (excluding Student ID)</w:t>
            </w:r>
          </w:p>
        </w:tc>
        <w:tc>
          <w:tcPr>
            <w:tcW w:type="dxa" w:w="748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0</w:t>
            </w:r>
          </w:p>
        </w:tc>
      </w:tr>
      <w:tr>
        <w:trPr>
          <w:cantSplit/>
        </w:trPr>
        <w:tc>
          <w:tcPr>
            <w:tcW w:type="dxa" w:w="273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Domain range violations</w:t>
            </w:r>
          </w:p>
        </w:tc>
        <w:tc>
          <w:tcPr>
            <w:tcW w:type="dxa" w:w="7488"/>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None; all integer codes fall within documented bounds</w:t>
            </w:r>
          </w:p>
        </w:tc>
      </w:tr>
      <w:tr>
        <w:trPr>
          <w:cantSplit/>
        </w:trPr>
        <w:tc>
          <w:tcPr>
            <w:tcW w:type="dxa" w:w="273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Codes that never occur</w:t>
            </w:r>
          </w:p>
        </w:tc>
        <w:tc>
          <w:tcPr>
            <w:tcW w:type="dxa" w:w="748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Q15 code 6: 0 occurrences; Q22 code 3 ("Never"): 0 occurrences; Q30 code 5 (&gt;3.49): 0 occurrences</w:t>
            </w:r>
          </w:p>
        </w:tc>
      </w:tr>
      <w:tr>
        <w:trPr>
          <w:cantSplit/>
        </w:trPr>
        <w:tc>
          <w:tcPr>
            <w:tcW w:type="dxa" w:w="273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Encoding artefacts</w:t>
            </w:r>
          </w:p>
        </w:tc>
        <w:tc>
          <w:tcPr>
            <w:tcW w:type="dxa" w:w="7488"/>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Column headers originally stored as string numerals ("1" to "30"); no Unicode corruption detected</w:t>
            </w:r>
          </w:p>
        </w:tc>
      </w:tr>
      <w:tr>
        <w:trPr>
          <w:cantSplit/>
        </w:trPr>
        <w:tc>
          <w:tcPr>
            <w:tcW w:type="dxa" w:w="273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Anonymisation</w:t>
            </w:r>
          </w:p>
        </w:tc>
        <w:tc>
          <w:tcPr>
            <w:tcW w:type="dxa" w:w="748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Student identifiers are arbitrary codes (STUDENT1-STUDENT145) with no personally identifiable information</w:t>
            </w:r>
          </w:p>
        </w:tc>
      </w:tr>
    </w:tbl>
    <w:p>
      <w:pPr>
        <w:spacing w:before="0" w:after="40"/>
      </w:pPr>
    </w:p>
    <w:p>
      <w:pPr>
        <w:spacing w:before="0" w:after="36" w:line="254" w:lineRule="auto"/>
        <w:jc w:val="both"/>
      </w:pPr>
      <w:r>
        <w:rPr>
          <w:rFonts w:ascii="Times New Roman" w:hAnsi="Times New Roman"/>
          <w:b w:val="0"/>
          <w:i w:val="0"/>
          <w:color w:val="000000"/>
          <w:sz w:val="20"/>
        </w:rPr>
        <w:t>The dataset is fully clean and requires no imputation. The absence of the "Never" attendance code (Q22, code 3) means that all 145 students reported attending lectures either "Always" (110 students, 75.9%) or "Sometimes" (35 students, 24.1%). Similarly, no student expected a GPA above 3.49 (Q30, code 5), reflecting conservative academic self-assessment across the cohort.</w:t>
      </w:r>
    </w:p>
    <w:p>
      <w:pPr>
        <w:pStyle w:val="Heading1"/>
        <w:keepNext/>
        <w:spacing w:before="180" w:after="40"/>
      </w:pPr>
      <w:r>
        <w:rPr>
          <w:rFonts w:ascii="Times New Roman" w:hAnsi="Times New Roman"/>
          <w:b/>
          <w:color w:val="1F4E78"/>
          <w:sz w:val="22"/>
        </w:rPr>
        <w:t>3. EXPLORATORY DATA ANALYSIS &amp; PREPROCESSING DECISIONS</w:t>
      </w:r>
    </w:p>
    <w:p>
      <w:pPr>
        <w:pStyle w:val="Heading2"/>
        <w:keepNext/>
        <w:spacing w:before="120" w:after="30"/>
      </w:pPr>
      <w:r>
        <w:rPr>
          <w:rFonts w:ascii="Times New Roman" w:hAnsi="Times New Roman"/>
          <w:b/>
          <w:color w:val="1F4E78"/>
          <w:sz w:val="20"/>
        </w:rPr>
        <w:t>4.1 Preprocessing Pipeline</w:t>
      </w:r>
    </w:p>
    <w:p>
      <w:pPr>
        <w:spacing w:before="0" w:after="36" w:line="254" w:lineRule="auto"/>
        <w:jc w:val="both"/>
      </w:pPr>
      <w:r>
        <w:rPr>
          <w:rFonts w:ascii="Times New Roman" w:hAnsi="Times New Roman"/>
          <w:b w:val="0"/>
          <w:i w:val="0"/>
          <w:color w:val="000000"/>
          <w:sz w:val="20"/>
        </w:rPr>
        <w:t>Table 6 presents the complete preprocessing pipeline in a structured step-technique-result format.</w:t>
      </w:r>
    </w:p>
    <w:p>
      <w:pPr>
        <w:spacing w:before="0" w:after="36" w:line="254" w:lineRule="auto"/>
        <w:jc w:val="both"/>
      </w:pPr>
      <w:r>
        <w:rPr>
          <w:rFonts w:ascii="Times New Roman" w:hAnsi="Times New Roman"/>
          <w:b/>
          <w:i w:val="0"/>
          <w:color w:val="000000"/>
          <w:sz w:val="20"/>
        </w:rPr>
        <w:t>Table 6. EDA and Preprocessing Pipeline: Step, Technique, and Result</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1152"/>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Step</w:t>
            </w:r>
          </w:p>
        </w:tc>
        <w:tc>
          <w:tcPr>
            <w:tcW w:type="dxa" w:w="3600"/>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Technique</w:t>
            </w:r>
          </w:p>
        </w:tc>
        <w:tc>
          <w:tcPr>
            <w:tcW w:type="dxa" w:w="5472"/>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Result</w:t>
            </w:r>
          </w:p>
        </w:tc>
      </w:tr>
      <w:tr>
        <w:trPr>
          <w:cantSplit/>
        </w:trPr>
        <w:tc>
          <w:tcPr>
            <w:tcW w:type="dxa" w:w="115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1. Data ingestion</w:t>
            </w:r>
          </w:p>
        </w:tc>
        <w:tc>
          <w:tcPr>
            <w:tcW w:type="dxa" w:w="360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Consolas" w:hAnsi="Consolas"/>
                <w:b w:val="0"/>
                <w:i w:val="0"/>
                <w:color w:val="1E293B"/>
                <w:sz w:val="11"/>
              </w:rPr>
              <w:t>pd.read_csv()</w:t>
            </w:r>
            <w:r>
              <w:rPr>
                <w:rFonts w:ascii="Times New Roman" w:hAnsi="Times New Roman"/>
                <w:b w:val="0"/>
                <w:i w:val="0"/>
                <w:color w:val="000000"/>
                <w:sz w:val="14"/>
              </w:rPr>
              <w:t xml:space="preserve"> from </w:t>
            </w:r>
            <w:r>
              <w:rPr>
                <w:rFonts w:ascii="Consolas" w:hAnsi="Consolas"/>
                <w:b w:val="0"/>
                <w:i w:val="0"/>
                <w:color w:val="1E293B"/>
                <w:sz w:val="11"/>
              </w:rPr>
              <w:t>data/student_performance.csv</w:t>
            </w:r>
          </w:p>
        </w:tc>
        <w:tc>
          <w:tcPr>
            <w:tcW w:type="dxa" w:w="547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145 rows x 33 columns loaded successfully</w:t>
            </w:r>
          </w:p>
        </w:tc>
      </w:tr>
      <w:tr>
        <w:trPr>
          <w:cantSplit/>
        </w:trPr>
        <w:tc>
          <w:tcPr>
            <w:tcW w:type="dxa" w:w="115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2. Column renaming</w:t>
            </w:r>
          </w:p>
        </w:tc>
        <w:tc>
          <w:tcPr>
            <w:tcW w:type="dxa" w:w="360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Dictionary mapping of original headers to semantic names</w:t>
            </w:r>
          </w:p>
        </w:tc>
        <w:tc>
          <w:tcPr>
            <w:tcW w:type="dxa" w:w="547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33 columns renamed (e.g., "2" to "Sex", "COURSE ID" to "Course_ID")</w:t>
            </w:r>
          </w:p>
        </w:tc>
      </w:tr>
      <w:tr>
        <w:trPr>
          <w:cantSplit/>
        </w:trPr>
        <w:tc>
          <w:tcPr>
            <w:tcW w:type="dxa" w:w="115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3. Label decoding</w:t>
            </w:r>
          </w:p>
        </w:tc>
        <w:tc>
          <w:tcPr>
            <w:tcW w:type="dxa" w:w="360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 xml:space="preserve">Integer codes mapped to human-readable strings using </w:t>
            </w:r>
            <w:r>
              <w:rPr>
                <w:rFonts w:ascii="Consolas" w:hAnsi="Consolas"/>
                <w:b w:val="0"/>
                <w:i w:val="0"/>
                <w:color w:val="1E293B"/>
                <w:sz w:val="11"/>
              </w:rPr>
              <w:t>dict_labels</w:t>
            </w:r>
          </w:p>
        </w:tc>
        <w:tc>
          <w:tcPr>
            <w:tcW w:type="dxa" w:w="547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 xml:space="preserve">Two parallel DataFrames maintained: </w:t>
            </w:r>
            <w:r>
              <w:rPr>
                <w:rFonts w:ascii="Consolas" w:hAnsi="Consolas"/>
                <w:b w:val="0"/>
                <w:i w:val="0"/>
                <w:color w:val="1E293B"/>
                <w:sz w:val="11"/>
              </w:rPr>
              <w:t>df_clean</w:t>
            </w:r>
            <w:r>
              <w:rPr>
                <w:rFonts w:ascii="Times New Roman" w:hAnsi="Times New Roman"/>
                <w:b w:val="0"/>
                <w:i w:val="0"/>
                <w:color w:val="000000"/>
                <w:sz w:val="14"/>
              </w:rPr>
              <w:t xml:space="preserve"> (numeric), </w:t>
            </w:r>
            <w:r>
              <w:rPr>
                <w:rFonts w:ascii="Consolas" w:hAnsi="Consolas"/>
                <w:b w:val="0"/>
                <w:i w:val="0"/>
                <w:color w:val="1E293B"/>
                <w:sz w:val="11"/>
              </w:rPr>
              <w:t>df_decoded</w:t>
            </w:r>
            <w:r>
              <w:rPr>
                <w:rFonts w:ascii="Times New Roman" w:hAnsi="Times New Roman"/>
                <w:b w:val="0"/>
                <w:i w:val="0"/>
                <w:color w:val="000000"/>
                <w:sz w:val="14"/>
              </w:rPr>
              <w:t xml:space="preserve"> (categorical strings)</w:t>
            </w:r>
          </w:p>
        </w:tc>
      </w:tr>
      <w:tr>
        <w:trPr>
          <w:cantSplit/>
        </w:trPr>
        <w:tc>
          <w:tcPr>
            <w:tcW w:type="dxa" w:w="115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4. Missing-value audit</w:t>
            </w:r>
          </w:p>
        </w:tc>
        <w:tc>
          <w:tcPr>
            <w:tcW w:type="dxa" w:w="360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Consolas" w:hAnsi="Consolas"/>
                <w:b w:val="0"/>
                <w:i w:val="0"/>
                <w:color w:val="1E293B"/>
                <w:sz w:val="11"/>
              </w:rPr>
              <w:t>df.isnull().sum()</w:t>
            </w:r>
            <w:r>
              <w:rPr>
                <w:rFonts w:ascii="Times New Roman" w:hAnsi="Times New Roman"/>
                <w:b w:val="0"/>
                <w:i w:val="0"/>
                <w:color w:val="000000"/>
                <w:sz w:val="14"/>
              </w:rPr>
              <w:t xml:space="preserve"> across all columns</w:t>
            </w:r>
          </w:p>
        </w:tc>
        <w:tc>
          <w:tcPr>
            <w:tcW w:type="dxa" w:w="547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0 missing values confirmed</w:t>
            </w:r>
          </w:p>
        </w:tc>
      </w:tr>
      <w:tr>
        <w:trPr>
          <w:cantSplit/>
        </w:trPr>
        <w:tc>
          <w:tcPr>
            <w:tcW w:type="dxa" w:w="115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5. Duplicate audit</w:t>
            </w:r>
          </w:p>
        </w:tc>
        <w:tc>
          <w:tcPr>
            <w:tcW w:type="dxa" w:w="360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Consolas" w:hAnsi="Consolas"/>
                <w:b w:val="0"/>
                <w:i w:val="0"/>
                <w:color w:val="1E293B"/>
                <w:sz w:val="11"/>
              </w:rPr>
              <w:t>df.duplicated()</w:t>
            </w:r>
            <w:r>
              <w:rPr>
                <w:rFonts w:ascii="Times New Roman" w:hAnsi="Times New Roman"/>
                <w:b w:val="0"/>
                <w:i w:val="0"/>
                <w:color w:val="000000"/>
                <w:sz w:val="14"/>
              </w:rPr>
              <w:t xml:space="preserve"> with and without Student ID</w:t>
            </w:r>
          </w:p>
        </w:tc>
        <w:tc>
          <w:tcPr>
            <w:tcW w:type="dxa" w:w="547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0 duplicates in both cases</w:t>
            </w:r>
          </w:p>
        </w:tc>
      </w:tr>
      <w:tr>
        <w:trPr>
          <w:cantSplit/>
        </w:trPr>
        <w:tc>
          <w:tcPr>
            <w:tcW w:type="dxa" w:w="115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6. Domain range validation</w:t>
            </w:r>
          </w:p>
        </w:tc>
        <w:tc>
          <w:tcPr>
            <w:tcW w:type="dxa" w:w="360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Unique-value check against data dictionary bounds</w:t>
            </w:r>
          </w:p>
        </w:tc>
        <w:tc>
          <w:tcPr>
            <w:tcW w:type="dxa" w:w="547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All values within documented ranges; 3 absent codes noted (Q15 code 6, Q22 code 3, Q30 code 5)</w:t>
            </w:r>
          </w:p>
        </w:tc>
      </w:tr>
      <w:tr>
        <w:trPr>
          <w:cantSplit/>
        </w:trPr>
        <w:tc>
          <w:tcPr>
            <w:tcW w:type="dxa" w:w="115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7. Outlier assessment</w:t>
            </w:r>
          </w:p>
        </w:tc>
        <w:tc>
          <w:tcPr>
            <w:tcW w:type="dxa" w:w="360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IQR (1.5x) and z-score (abs(z) &gt; 3) on engineered scores</w:t>
            </w:r>
          </w:p>
        </w:tc>
        <w:tc>
          <w:tcPr>
            <w:tcW w:type="dxa" w:w="547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IQR flags: Study</w:t>
            </w:r>
            <w:r>
              <w:rPr>
                <w:rFonts w:ascii="Times New Roman" w:hAnsi="Times New Roman"/>
                <w:b w:val="0"/>
                <w:i/>
                <w:color w:val="000000"/>
                <w:sz w:val="14"/>
              </w:rPr>
              <w:t>Engagement (4), Class</w:t>
            </w:r>
            <w:r>
              <w:rPr>
                <w:rFonts w:ascii="Times New Roman" w:hAnsi="Times New Roman"/>
                <w:b w:val="0"/>
                <w:i w:val="0"/>
                <w:color w:val="000000"/>
                <w:sz w:val="14"/>
              </w:rPr>
              <w:t>Behaviour (3), Family</w:t>
            </w:r>
            <w:r>
              <w:rPr>
                <w:rFonts w:ascii="Times New Roman" w:hAnsi="Times New Roman"/>
                <w:b w:val="0"/>
                <w:i/>
                <w:color w:val="000000"/>
                <w:sz w:val="14"/>
              </w:rPr>
              <w:t>Education (1), Aspiration</w:t>
            </w:r>
            <w:r>
              <w:rPr>
                <w:rFonts w:ascii="Times New Roman" w:hAnsi="Times New Roman"/>
                <w:b w:val="0"/>
                <w:i w:val="0"/>
                <w:color w:val="000000"/>
                <w:sz w:val="14"/>
              </w:rPr>
              <w:t>Gap (7); z-score outliers: 0. All retained.</w:t>
            </w:r>
          </w:p>
        </w:tc>
      </w:tr>
      <w:tr>
        <w:trPr>
          <w:cantSplit/>
        </w:trPr>
        <w:tc>
          <w:tcPr>
            <w:tcW w:type="dxa" w:w="115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8. Feature engineering</w:t>
            </w:r>
          </w:p>
        </w:tc>
        <w:tc>
          <w:tcPr>
            <w:tcW w:type="dxa" w:w="360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Composite score formulas (Table 7)</w:t>
            </w:r>
          </w:p>
        </w:tc>
        <w:tc>
          <w:tcPr>
            <w:tcW w:type="dxa" w:w="547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4 engineered continuous scores + Grade_Group + Pass flag created</w:t>
            </w:r>
          </w:p>
        </w:tc>
      </w:tr>
      <w:tr>
        <w:trPr>
          <w:cantSplit/>
        </w:trPr>
        <w:tc>
          <w:tcPr>
            <w:tcW w:type="dxa" w:w="115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9. One-hot encoding</w:t>
            </w:r>
          </w:p>
        </w:tc>
        <w:tc>
          <w:tcPr>
            <w:tcW w:type="dxa" w:w="360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 xml:space="preserve">Nominal features encoded with </w:t>
            </w:r>
            <w:r>
              <w:rPr>
                <w:rFonts w:ascii="Consolas" w:hAnsi="Consolas"/>
                <w:b w:val="0"/>
                <w:i w:val="0"/>
                <w:color w:val="1E293B"/>
                <w:sz w:val="11"/>
              </w:rPr>
              <w:t>pd.get_dummies(drop_first=True)</w:t>
            </w:r>
          </w:p>
        </w:tc>
        <w:tc>
          <w:tcPr>
            <w:tcW w:type="dxa" w:w="547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57 input dimensions after encoding</w:t>
            </w:r>
          </w:p>
        </w:tc>
      </w:tr>
      <w:tr>
        <w:trPr>
          <w:cantSplit/>
        </w:trPr>
        <w:tc>
          <w:tcPr>
            <w:tcW w:type="dxa" w:w="115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10. Stratified split</w:t>
            </w:r>
          </w:p>
        </w:tc>
        <w:tc>
          <w:tcPr>
            <w:tcW w:type="dxa" w:w="360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 xml:space="preserve">70/15/15 train/val/test with </w:t>
            </w:r>
            <w:r>
              <w:rPr>
                <w:rFonts w:ascii="Consolas" w:hAnsi="Consolas"/>
                <w:b w:val="0"/>
                <w:i w:val="0"/>
                <w:color w:val="1E293B"/>
                <w:sz w:val="11"/>
              </w:rPr>
              <w:t>stratify=Grade_Group</w:t>
            </w:r>
          </w:p>
        </w:tc>
        <w:tc>
          <w:tcPr>
            <w:tcW w:type="dxa" w:w="547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Train: 101, Validation: 22, Test: 22 samples</w:t>
            </w:r>
          </w:p>
        </w:tc>
      </w:tr>
      <w:tr>
        <w:trPr>
          <w:cantSplit/>
        </w:trPr>
        <w:tc>
          <w:tcPr>
            <w:tcW w:type="dxa" w:w="115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11. Standardisation</w:t>
            </w:r>
          </w:p>
        </w:tc>
        <w:tc>
          <w:tcPr>
            <w:tcW w:type="dxa" w:w="360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Consolas" w:hAnsi="Consolas"/>
                <w:b w:val="0"/>
                <w:i w:val="0"/>
                <w:color w:val="1E293B"/>
                <w:sz w:val="11"/>
              </w:rPr>
              <w:t>StandardScaler</w:t>
            </w:r>
            <w:r>
              <w:rPr>
                <w:rFonts w:ascii="Times New Roman" w:hAnsi="Times New Roman"/>
                <w:b w:val="0"/>
                <w:i w:val="0"/>
                <w:color w:val="000000"/>
                <w:sz w:val="14"/>
              </w:rPr>
              <w:t xml:space="preserve"> fitted on training split only</w:t>
            </w:r>
          </w:p>
        </w:tc>
        <w:tc>
          <w:tcPr>
            <w:tcW w:type="dxa" w:w="547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Applied transformatively to validation and test sets (no data leakage)</w:t>
            </w:r>
          </w:p>
        </w:tc>
      </w:tr>
      <w:tr>
        <w:trPr>
          <w:cantSplit/>
        </w:trPr>
        <w:tc>
          <w:tcPr>
            <w:tcW w:type="dxa" w:w="115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12. Class weighting</w:t>
            </w:r>
          </w:p>
        </w:tc>
        <w:tc>
          <w:tcPr>
            <w:tcW w:type="dxa" w:w="360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Consolas" w:hAnsi="Consolas"/>
                <w:b w:val="0"/>
                <w:i w:val="0"/>
                <w:color w:val="1E293B"/>
                <w:sz w:val="11"/>
              </w:rPr>
              <w:t>compute_class_weight('balanced')</w:t>
            </w:r>
            <w:r>
              <w:rPr>
                <w:rFonts w:ascii="Times New Roman" w:hAnsi="Times New Roman"/>
                <w:b w:val="0"/>
                <w:i w:val="0"/>
                <w:color w:val="000000"/>
                <w:sz w:val="14"/>
              </w:rPr>
              <w:t xml:space="preserve"> from training labels</w:t>
            </w:r>
          </w:p>
        </w:tc>
        <w:tc>
          <w:tcPr>
            <w:tcW w:type="dxa" w:w="547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Weights: Low = 0.716, Medium = 1.603, High = 1.020</w:t>
            </w:r>
          </w:p>
        </w:tc>
      </w:tr>
    </w:tbl>
    <w:p>
      <w:pPr>
        <w:spacing w:before="0" w:after="40"/>
      </w:pPr>
    </w:p>
    <w:p>
      <w:pPr>
        <w:pStyle w:val="Heading2"/>
        <w:keepNext/>
        <w:spacing w:before="120" w:after="30"/>
      </w:pPr>
      <w:r>
        <w:rPr>
          <w:rFonts w:ascii="Times New Roman" w:hAnsi="Times New Roman"/>
          <w:b/>
          <w:color w:val="1F4E78"/>
          <w:sz w:val="20"/>
        </w:rPr>
        <w:t>4.2 Outlier Treatment Justification</w:t>
      </w:r>
    </w:p>
    <w:p>
      <w:pPr>
        <w:spacing w:before="0" w:after="36" w:line="254" w:lineRule="auto"/>
        <w:jc w:val="both"/>
      </w:pPr>
      <w:r>
        <w:rPr>
          <w:rFonts w:ascii="Times New Roman" w:hAnsi="Times New Roman"/>
          <w:b w:val="0"/>
          <w:i w:val="0"/>
          <w:color w:val="000000"/>
          <w:sz w:val="20"/>
        </w:rPr>
        <w:t>The IQR-based outlier rule (1.5 x IQR below Q1 or above Q3) flagged a total of 15 data points across the four engineered scores. However, all four scores are bounded composites of Likert-type ordinal survey items. Such bounded scales cannot produce true measurement outliers in the statistical sense; the extreme values represent genuine student behavioural archetypes (e.g., a student who studies extensively across all dimensions, or one who consistently reports minimal engagement). Moreover, with only 145 records, removing any observations would significantly reduce statistical power and potentially eliminate precisely those at-risk students who are the focus of the early-warning application. No z-score exceeded the abs(z) &gt; 3 threshold. Therefore, all 145 rows were retained for analysis.</w:t>
      </w:r>
    </w:p>
    <w:p>
      <w:pPr>
        <w:pStyle w:val="Heading2"/>
        <w:keepNext/>
        <w:spacing w:before="120" w:after="30"/>
      </w:pPr>
      <w:r>
        <w:rPr>
          <w:rFonts w:ascii="Times New Roman" w:hAnsi="Times New Roman"/>
          <w:b/>
          <w:color w:val="1F4E78"/>
          <w:sz w:val="20"/>
        </w:rPr>
        <w:t>4.3 Feature Engineering</w:t>
      </w:r>
    </w:p>
    <w:p>
      <w:pPr>
        <w:spacing w:before="0" w:after="36" w:line="254" w:lineRule="auto"/>
        <w:jc w:val="both"/>
      </w:pPr>
      <w:r>
        <w:rPr>
          <w:rFonts w:ascii="Times New Roman" w:hAnsi="Times New Roman"/>
          <w:b w:val="0"/>
          <w:i w:val="0"/>
          <w:color w:val="000000"/>
          <w:sz w:val="20"/>
        </w:rPr>
        <w:t>Table 7 documents the formulas for the four engineered composite metrics.</w:t>
      </w:r>
    </w:p>
    <w:p>
      <w:pPr>
        <w:spacing w:before="0" w:after="36" w:line="254" w:lineRule="auto"/>
        <w:jc w:val="both"/>
      </w:pPr>
      <w:r>
        <w:rPr>
          <w:rFonts w:ascii="Times New Roman" w:hAnsi="Times New Roman"/>
          <w:b/>
          <w:i w:val="0"/>
          <w:color w:val="000000"/>
          <w:sz w:val="20"/>
        </w:rPr>
        <w:t>Table 7. Engineered Composite Feature Formulas</w:t>
      </w:r>
    </w:p>
    <w:tbl>
      <w:tblPr>
        <w:tblStyle w:val="TableGrid"/>
        <w:tblW w:type="auto" w:w="0"/>
        <w:jc w:val="center"/>
        <w:tblLook w:firstColumn="1" w:firstRow="1" w:lastColumn="0" w:lastRow="0" w:noHBand="0" w:noVBand="1" w:val="04A0"/>
      </w:tblPr>
      <w:tblGrid>
        <w:gridCol w:w="2556"/>
        <w:gridCol w:w="2556"/>
        <w:gridCol w:w="2556"/>
        <w:gridCol w:w="2556"/>
      </w:tblGrid>
      <w:tr>
        <w:trPr>
          <w:tblHeader/>
        </w:trPr>
        <w:tc>
          <w:tcPr>
            <w:tcW w:type="dxa" w:w="2556"/>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Engineered Feature</w:t>
            </w:r>
          </w:p>
        </w:tc>
        <w:tc>
          <w:tcPr>
            <w:tcW w:type="dxa" w:w="2556"/>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Formula</w:t>
            </w:r>
          </w:p>
        </w:tc>
        <w:tc>
          <w:tcPr>
            <w:tcW w:type="dxa" w:w="2556"/>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Range</w:t>
            </w:r>
          </w:p>
        </w:tc>
        <w:tc>
          <w:tcPr>
            <w:tcW w:type="dxa" w:w="2556"/>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Interpretation</w:t>
            </w:r>
          </w:p>
        </w:tc>
      </w:tr>
      <w:tr>
        <w:trPr>
          <w:cantSplit/>
        </w:trPr>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Study_Engagement</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Study</w:t>
            </w:r>
            <w:r>
              <w:rPr>
                <w:rFonts w:ascii="Times New Roman" w:hAnsi="Times New Roman"/>
                <w:b w:val="0"/>
                <w:i/>
                <w:color w:val="000000"/>
                <w:sz w:val="14"/>
              </w:rPr>
              <w:t>Hours + Read</w:t>
            </w:r>
            <w:r>
              <w:rPr>
                <w:rFonts w:ascii="Times New Roman" w:hAnsi="Times New Roman"/>
                <w:b w:val="0"/>
                <w:i w:val="0"/>
                <w:color w:val="000000"/>
                <w:sz w:val="14"/>
              </w:rPr>
              <w:t>Sci + Read</w:t>
            </w:r>
            <w:r>
              <w:rPr>
                <w:rFonts w:ascii="Times New Roman" w:hAnsi="Times New Roman"/>
                <w:b w:val="0"/>
                <w:i/>
                <w:color w:val="000000"/>
                <w:sz w:val="14"/>
              </w:rPr>
              <w:t>NonSci + Seminars</w:t>
            </w:r>
            <w:r>
              <w:rPr>
                <w:rFonts w:ascii="Times New Roman" w:hAnsi="Times New Roman"/>
                <w:b w:val="0"/>
                <w:i w:val="0"/>
                <w:color w:val="000000"/>
                <w:sz w:val="14"/>
              </w:rPr>
              <w:t>Score (Seminars: Yes=2, No=1)</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4-13</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Higher values indicate greater academic engagement outside the classroom</w:t>
            </w:r>
          </w:p>
        </w:tc>
      </w:tr>
      <w:tr>
        <w:trPr>
          <w:cantSplit/>
        </w:trPr>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Class_Behaviour</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(4 - Attendance) + Note_Taking + Listening + Discussion</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6-12</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Higher values indicate stronger in-class behavioural compliance and participation</w:t>
            </w:r>
          </w:p>
        </w:tc>
      </w:tr>
      <w:tr>
        <w:trPr>
          <w:cantSplit/>
        </w:trPr>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Family_Education</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Mother</w:t>
            </w:r>
            <w:r>
              <w:rPr>
                <w:rFonts w:ascii="Times New Roman" w:hAnsi="Times New Roman"/>
                <w:b w:val="0"/>
                <w:i/>
                <w:color w:val="000000"/>
                <w:sz w:val="14"/>
              </w:rPr>
              <w:t>Edu + Father</w:t>
            </w:r>
            <w:r>
              <w:rPr>
                <w:rFonts w:ascii="Times New Roman" w:hAnsi="Times New Roman"/>
                <w:b w:val="0"/>
                <w:i w:val="0"/>
                <w:color w:val="000000"/>
                <w:sz w:val="14"/>
              </w:rPr>
              <w:t>Edu</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2-12</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Higher values indicate greater parental educational capital</w:t>
            </w:r>
          </w:p>
        </w:tc>
      </w:tr>
      <w:tr>
        <w:trPr>
          <w:cantSplit/>
        </w:trPr>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Aspiration_Gap</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GPA</w:t>
            </w:r>
            <w:r>
              <w:rPr>
                <w:rFonts w:ascii="Times New Roman" w:hAnsi="Times New Roman"/>
                <w:b w:val="0"/>
                <w:i/>
                <w:color w:val="000000"/>
                <w:sz w:val="14"/>
              </w:rPr>
              <w:t>Expected - GPA</w:t>
            </w:r>
            <w:r>
              <w:rPr>
                <w:rFonts w:ascii="Times New Roman" w:hAnsi="Times New Roman"/>
                <w:b w:val="0"/>
                <w:i w:val="0"/>
                <w:color w:val="000000"/>
                <w:sz w:val="14"/>
              </w:rPr>
              <w:t>Last</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-4 to +4</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Positive values indicate optimistic self-assessment; negative values indicate realistic or cautious expectations</w:t>
            </w:r>
          </w:p>
        </w:tc>
      </w:tr>
    </w:tbl>
    <w:p>
      <w:pPr>
        <w:spacing w:before="0" w:after="40"/>
      </w:pPr>
    </w:p>
    <w:p>
      <w:pPr>
        <w:spacing w:before="0" w:after="36" w:line="254" w:lineRule="auto"/>
        <w:jc w:val="both"/>
      </w:pPr>
      <w:r>
        <w:rPr>
          <w:rFonts w:ascii="Times New Roman" w:hAnsi="Times New Roman"/>
          <w:b w:val="0"/>
          <w:i w:val="0"/>
          <w:color w:val="000000"/>
          <w:sz w:val="20"/>
        </w:rPr>
        <w:t>Note that for the Attendance variable, the raw code uses 1 = Always (best) and 3 = Never (worst), so the transformation (4 - Attendance) reverse-codes it so that higher numerical values consistently represent more desirable behaviour across all constituent items.</w:t>
      </w:r>
    </w:p>
    <w:p>
      <w:pPr>
        <w:spacing w:before="0" w:after="36" w:line="254" w:lineRule="auto"/>
        <w:jc w:val="both"/>
      </w:pPr>
      <w:r>
        <w:rPr>
          <w:rFonts w:ascii="Times New Roman" w:hAnsi="Times New Roman"/>
          <w:b w:val="0"/>
          <w:i w:val="0"/>
          <w:color w:val="000000"/>
          <w:sz w:val="20"/>
        </w:rPr>
        <w:t>The descriptive statistics for the engineered scores are:</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Study_Engagement:</w:t>
      </w:r>
      <w:r>
        <w:rPr>
          <w:rFonts w:ascii="Times New Roman" w:hAnsi="Times New Roman"/>
          <w:b w:val="0"/>
          <w:i w:val="0"/>
          <w:color w:val="000000"/>
          <w:sz w:val="19"/>
        </w:rPr>
        <w:t xml:space="preserve"> Mean = 7.94, Median = 8.0, Std = 1.46, Range = [4, 13].</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Class_Behaviour:</w:t>
      </w:r>
      <w:r>
        <w:rPr>
          <w:rFonts w:ascii="Times New Roman" w:hAnsi="Times New Roman"/>
          <w:b w:val="0"/>
          <w:i w:val="0"/>
          <w:color w:val="000000"/>
          <w:sz w:val="19"/>
        </w:rPr>
        <w:t xml:space="preserve"> Mean = 9.75, Median = 10.0, Std = 1.28, Range = [6, 12].</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Family_Education:</w:t>
      </w:r>
      <w:r>
        <w:rPr>
          <w:rFonts w:ascii="Times New Roman" w:hAnsi="Times New Roman"/>
          <w:b w:val="0"/>
          <w:i w:val="0"/>
          <w:color w:val="000000"/>
          <w:sz w:val="19"/>
        </w:rPr>
        <w:t xml:space="preserve"> Mean = 4.92, Median = 5.0, Std = 2.01, Range = [2, 11].</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Aspiration_Gap:</w:t>
      </w:r>
      <w:r>
        <w:rPr>
          <w:rFonts w:ascii="Times New Roman" w:hAnsi="Times New Roman"/>
          <w:b w:val="0"/>
          <w:i w:val="0"/>
          <w:color w:val="000000"/>
          <w:sz w:val="19"/>
        </w:rPr>
        <w:t xml:space="preserve"> Mean = -0.40, Median = 0.0, Std = 0.98, Range = [-3, 2].</w:t>
      </w:r>
    </w:p>
    <w:p>
      <w:pPr>
        <w:spacing w:before="0" w:after="36" w:line="254" w:lineRule="auto"/>
        <w:jc w:val="both"/>
      </w:pPr>
      <w:r>
        <w:rPr>
          <w:rFonts w:ascii="Times New Roman" w:hAnsi="Times New Roman"/>
          <w:b w:val="0"/>
          <w:i w:val="0"/>
          <w:color w:val="000000"/>
          <w:sz w:val="20"/>
        </w:rPr>
        <w:t>The negative mean of Aspiration_Gap (-0.40) indicates that students on average expected their end-of-term GPA to be slightly lower than their prior cumulative standing, reflecting realistic or mildly pessimistic academic self-calibration.</w:t>
      </w:r>
    </w:p>
    <w:p>
      <w:pPr>
        <w:pStyle w:val="Heading2"/>
        <w:keepNext/>
        <w:spacing w:before="120" w:after="30"/>
      </w:pPr>
      <w:r>
        <w:rPr>
          <w:rFonts w:ascii="Times New Roman" w:hAnsi="Times New Roman"/>
          <w:b/>
          <w:color w:val="1F4E78"/>
          <w:sz w:val="20"/>
        </w:rPr>
        <w:t>4.4 Stratified Data Split</w:t>
      </w:r>
    </w:p>
    <w:p>
      <w:pPr>
        <w:spacing w:before="0" w:after="36" w:line="254" w:lineRule="auto"/>
        <w:jc w:val="both"/>
      </w:pPr>
      <w:r>
        <w:rPr>
          <w:rFonts w:ascii="Times New Roman" w:hAnsi="Times New Roman"/>
          <w:b w:val="0"/>
          <w:i w:val="0"/>
          <w:color w:val="000000"/>
          <w:sz w:val="20"/>
        </w:rPr>
        <w:t>The dataset was partitioned into three non-overlapping subsets using stratified sampling on Grade_Group with a fixed random seed of 42.</w:t>
      </w:r>
    </w:p>
    <w:p>
      <w:pPr>
        <w:spacing w:before="0" w:after="36" w:line="254" w:lineRule="auto"/>
        <w:jc w:val="both"/>
      </w:pPr>
      <w:r>
        <w:rPr>
          <w:rFonts w:ascii="Times New Roman" w:hAnsi="Times New Roman"/>
          <w:b/>
          <w:i w:val="0"/>
          <w:color w:val="000000"/>
          <w:sz w:val="20"/>
        </w:rPr>
        <w:t>Table 8. Stratified Data Split: Sizes and Class Distributions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trPr>
        <w:tc>
          <w:tcPr>
            <w:tcW w:type="dxa" w:w="1699"/>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center"/>
            </w:pPr>
            <w:r>
              <w:rPr>
                <w:rFonts w:ascii="Times New Roman" w:hAnsi="Times New Roman"/>
                <w:b/>
                <w:i w:val="0"/>
                <w:color w:val="FFFFFF"/>
                <w:sz w:val="15"/>
              </w:rPr>
              <w:t>Split</w:t>
            </w:r>
          </w:p>
        </w:tc>
        <w:tc>
          <w:tcPr>
            <w:tcW w:type="dxa" w:w="1699"/>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Total Samples</w:t>
            </w:r>
          </w:p>
        </w:tc>
        <w:tc>
          <w:tcPr>
            <w:tcW w:type="dxa" w:w="1699"/>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center"/>
            </w:pPr>
            <w:r>
              <w:rPr>
                <w:rFonts w:ascii="Times New Roman" w:hAnsi="Times New Roman"/>
                <w:b/>
                <w:i w:val="0"/>
                <w:color w:val="FFFFFF"/>
                <w:sz w:val="15"/>
              </w:rPr>
              <w:t>% of Dataset</w:t>
            </w:r>
          </w:p>
        </w:tc>
        <w:tc>
          <w:tcPr>
            <w:tcW w:type="dxa" w:w="1699"/>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Low (n)</w:t>
            </w:r>
          </w:p>
        </w:tc>
        <w:tc>
          <w:tcPr>
            <w:tcW w:type="dxa" w:w="1699"/>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Medium (n)</w:t>
            </w:r>
          </w:p>
        </w:tc>
        <w:tc>
          <w:tcPr>
            <w:tcW w:type="dxa" w:w="1699"/>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High (n)</w:t>
            </w:r>
          </w:p>
        </w:tc>
      </w:tr>
      <w:tr>
        <w:trPr>
          <w:cantSplit/>
        </w:trPr>
        <w:tc>
          <w:tcPr>
            <w:tcW w:type="dxa" w:w="1699"/>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Train</w:t>
            </w:r>
          </w:p>
        </w:tc>
        <w:tc>
          <w:tcPr>
            <w:tcW w:type="dxa" w:w="1699"/>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101</w:t>
            </w:r>
          </w:p>
        </w:tc>
        <w:tc>
          <w:tcPr>
            <w:tcW w:type="dxa" w:w="1699"/>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69.7%</w:t>
            </w:r>
          </w:p>
        </w:tc>
        <w:tc>
          <w:tcPr>
            <w:tcW w:type="dxa" w:w="1699"/>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47</w:t>
            </w:r>
          </w:p>
        </w:tc>
        <w:tc>
          <w:tcPr>
            <w:tcW w:type="dxa" w:w="1699"/>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21</w:t>
            </w:r>
          </w:p>
        </w:tc>
        <w:tc>
          <w:tcPr>
            <w:tcW w:type="dxa" w:w="1699"/>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33</w:t>
            </w:r>
          </w:p>
        </w:tc>
      </w:tr>
      <w:tr>
        <w:trPr>
          <w:cantSplit/>
        </w:trPr>
        <w:tc>
          <w:tcPr>
            <w:tcW w:type="dxa" w:w="1699"/>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Validation</w:t>
            </w:r>
          </w:p>
        </w:tc>
        <w:tc>
          <w:tcPr>
            <w:tcW w:type="dxa" w:w="1699"/>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22</w:t>
            </w:r>
          </w:p>
        </w:tc>
        <w:tc>
          <w:tcPr>
            <w:tcW w:type="dxa" w:w="1699"/>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15.2%</w:t>
            </w:r>
          </w:p>
        </w:tc>
        <w:tc>
          <w:tcPr>
            <w:tcW w:type="dxa" w:w="1699"/>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10</w:t>
            </w:r>
          </w:p>
        </w:tc>
        <w:tc>
          <w:tcPr>
            <w:tcW w:type="dxa" w:w="1699"/>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5</w:t>
            </w:r>
          </w:p>
        </w:tc>
        <w:tc>
          <w:tcPr>
            <w:tcW w:type="dxa" w:w="1699"/>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7</w:t>
            </w:r>
          </w:p>
        </w:tc>
      </w:tr>
      <w:tr>
        <w:trPr>
          <w:cantSplit/>
        </w:trPr>
        <w:tc>
          <w:tcPr>
            <w:tcW w:type="dxa" w:w="1699"/>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Test</w:t>
            </w:r>
          </w:p>
        </w:tc>
        <w:tc>
          <w:tcPr>
            <w:tcW w:type="dxa" w:w="1699"/>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22</w:t>
            </w:r>
          </w:p>
        </w:tc>
        <w:tc>
          <w:tcPr>
            <w:tcW w:type="dxa" w:w="1699"/>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15.2%</w:t>
            </w:r>
          </w:p>
        </w:tc>
        <w:tc>
          <w:tcPr>
            <w:tcW w:type="dxa" w:w="1699"/>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10</w:t>
            </w:r>
          </w:p>
        </w:tc>
        <w:tc>
          <w:tcPr>
            <w:tcW w:type="dxa" w:w="1699"/>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5</w:t>
            </w:r>
          </w:p>
        </w:tc>
        <w:tc>
          <w:tcPr>
            <w:tcW w:type="dxa" w:w="1699"/>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7</w:t>
            </w:r>
          </w:p>
        </w:tc>
      </w:tr>
      <w:tr>
        <w:trPr>
          <w:cantSplit/>
        </w:trPr>
        <w:tc>
          <w:tcPr>
            <w:tcW w:type="dxa" w:w="1699"/>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i w:val="0"/>
                <w:color w:val="000000"/>
                <w:sz w:val="14"/>
              </w:rPr>
              <w:t>Total</w:t>
            </w:r>
          </w:p>
        </w:tc>
        <w:tc>
          <w:tcPr>
            <w:tcW w:type="dxa" w:w="1699"/>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i w:val="0"/>
                <w:color w:val="000000"/>
                <w:sz w:val="14"/>
              </w:rPr>
              <w:t>145</w:t>
            </w:r>
          </w:p>
        </w:tc>
        <w:tc>
          <w:tcPr>
            <w:tcW w:type="dxa" w:w="1699"/>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i w:val="0"/>
                <w:color w:val="000000"/>
                <w:sz w:val="14"/>
              </w:rPr>
              <w:t>100.0%</w:t>
            </w:r>
          </w:p>
        </w:tc>
        <w:tc>
          <w:tcPr>
            <w:tcW w:type="dxa" w:w="1699"/>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i w:val="0"/>
                <w:color w:val="000000"/>
                <w:sz w:val="14"/>
              </w:rPr>
              <w:t>67</w:t>
            </w:r>
          </w:p>
        </w:tc>
        <w:tc>
          <w:tcPr>
            <w:tcW w:type="dxa" w:w="1699"/>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i w:val="0"/>
                <w:color w:val="000000"/>
                <w:sz w:val="14"/>
              </w:rPr>
              <w:t>31</w:t>
            </w:r>
          </w:p>
        </w:tc>
        <w:tc>
          <w:tcPr>
            <w:tcW w:type="dxa" w:w="1699"/>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i w:val="0"/>
                <w:color w:val="000000"/>
                <w:sz w:val="14"/>
              </w:rPr>
              <w:t>47</w:t>
            </w:r>
          </w:p>
        </w:tc>
      </w:tr>
    </w:tbl>
    <w:p>
      <w:pPr>
        <w:spacing w:before="0" w:after="40"/>
      </w:pPr>
    </w:p>
    <w:p>
      <w:pPr>
        <w:spacing w:before="0" w:after="36" w:line="254" w:lineRule="auto"/>
        <w:jc w:val="both"/>
      </w:pPr>
      <w:r>
        <w:rPr>
          <w:rFonts w:ascii="Times New Roman" w:hAnsi="Times New Roman"/>
          <w:b w:val="0"/>
          <w:i w:val="0"/>
          <w:color w:val="000000"/>
          <w:sz w:val="20"/>
        </w:rPr>
        <w:t xml:space="preserve">The class proportions are preserved across all three splits. The </w:t>
      </w:r>
      <w:r>
        <w:rPr>
          <w:rFonts w:ascii="Consolas" w:hAnsi="Consolas"/>
          <w:b w:val="0"/>
          <w:i w:val="0"/>
          <w:color w:val="1E293B"/>
          <w:sz w:val="17"/>
        </w:rPr>
        <w:t>StandardScaler</w:t>
      </w:r>
      <w:r>
        <w:rPr>
          <w:rFonts w:ascii="Times New Roman" w:hAnsi="Times New Roman"/>
          <w:b w:val="0"/>
          <w:i w:val="0"/>
          <w:color w:val="000000"/>
          <w:sz w:val="20"/>
        </w:rPr>
        <w:t xml:space="preserve"> was fitted exclusively on the 101 training samples and applied transformatively to the validation and test sets, ensuring zero data leakage. Balanced class weights were computed from the training labels to counteract the class imbalance during model optimisation.</w:t>
      </w:r>
    </w:p>
    <w:p>
      <w:pPr>
        <w:pStyle w:val="Heading2"/>
        <w:keepNext/>
        <w:spacing w:before="120" w:after="30"/>
      </w:pPr>
      <w:r>
        <w:rPr>
          <w:rFonts w:ascii="Times New Roman" w:hAnsi="Times New Roman"/>
          <w:b/>
          <w:color w:val="1F4E78"/>
          <w:sz w:val="20"/>
        </w:rPr>
        <w:t>4.5 Summary of Main EDA Insights</w:t>
      </w:r>
    </w:p>
    <w:p>
      <w:pPr>
        <w:spacing w:before="0" w:after="36" w:line="254" w:lineRule="auto"/>
        <w:jc w:val="both"/>
      </w:pPr>
      <w:r>
        <w:rPr>
          <w:rFonts w:ascii="Times New Roman" w:hAnsi="Times New Roman"/>
          <w:b w:val="0"/>
          <w:i w:val="0"/>
          <w:color w:val="000000"/>
          <w:sz w:val="20"/>
        </w:rPr>
        <w:t>The key EDA findings are summarised below:</w:t>
      </w:r>
    </w:p>
    <w:p>
      <w:pPr>
        <w:spacing w:before="0" w:after="20" w:line="254" w:lineRule="auto"/>
        <w:ind w:left="259" w:hanging="173"/>
        <w:jc w:val="both"/>
      </w:pPr>
      <w:r>
        <w:rPr>
          <w:rFonts w:ascii="Times New Roman" w:hAnsi="Times New Roman"/>
          <w:b/>
          <w:color w:val="1F4E78"/>
          <w:sz w:val="19"/>
        </w:rPr>
        <w:t xml:space="preserve">1. </w:t>
      </w:r>
      <w:r>
        <w:rPr>
          <w:rFonts w:ascii="Times New Roman" w:hAnsi="Times New Roman"/>
          <w:b/>
          <w:i w:val="0"/>
          <w:color w:val="000000"/>
          <w:sz w:val="19"/>
        </w:rPr>
        <w:t>Prior academic trajectory dominates:</w:t>
      </w:r>
      <w:r>
        <w:rPr>
          <w:rFonts w:ascii="Times New Roman" w:hAnsi="Times New Roman"/>
          <w:b w:val="0"/>
          <w:i w:val="0"/>
          <w:color w:val="000000"/>
          <w:sz w:val="19"/>
        </w:rPr>
        <w:t xml:space="preserve"> Prior Cumulative GPA (GPA_Last) is the single strongest monotonic predictor of final grade (Spearman rho = +0.351, p &lt; 0.001).</w:t>
      </w:r>
    </w:p>
    <w:p>
      <w:pPr>
        <w:spacing w:before="0" w:after="20" w:line="254" w:lineRule="auto"/>
        <w:ind w:left="259" w:hanging="173"/>
        <w:jc w:val="both"/>
      </w:pPr>
      <w:r>
        <w:rPr>
          <w:rFonts w:ascii="Times New Roman" w:hAnsi="Times New Roman"/>
          <w:b/>
          <w:color w:val="1F4E78"/>
          <w:sz w:val="19"/>
        </w:rPr>
        <w:t xml:space="preserve">2. </w:t>
      </w:r>
      <w:r>
        <w:rPr>
          <w:rFonts w:ascii="Times New Roman" w:hAnsi="Times New Roman"/>
          <w:b/>
          <w:i w:val="0"/>
          <w:color w:val="000000"/>
          <w:sz w:val="19"/>
        </w:rPr>
        <w:t>Attendance is necessary but not sufficient:</w:t>
      </w:r>
      <w:r>
        <w:rPr>
          <w:rFonts w:ascii="Times New Roman" w:hAnsi="Times New Roman"/>
          <w:b w:val="0"/>
          <w:i w:val="0"/>
          <w:color w:val="000000"/>
          <w:sz w:val="19"/>
        </w:rPr>
        <w:t xml:space="preserve"> Students attending lectures only "Sometimes" have a 62.9% probability of falling into the Low attainment tier, compared to 40.9% for regular attenders.</w:t>
      </w:r>
    </w:p>
    <w:p>
      <w:pPr>
        <w:spacing w:before="0" w:after="20" w:line="254" w:lineRule="auto"/>
        <w:ind w:left="259" w:hanging="173"/>
        <w:jc w:val="both"/>
      </w:pPr>
      <w:r>
        <w:rPr>
          <w:rFonts w:ascii="Times New Roman" w:hAnsi="Times New Roman"/>
          <w:b/>
          <w:color w:val="1F4E78"/>
          <w:sz w:val="19"/>
        </w:rPr>
        <w:t xml:space="preserve">3. </w:t>
      </w:r>
      <w:r>
        <w:rPr>
          <w:rFonts w:ascii="Times New Roman" w:hAnsi="Times New Roman"/>
          <w:b/>
          <w:i w:val="0"/>
          <w:color w:val="000000"/>
          <w:sz w:val="19"/>
        </w:rPr>
        <w:t>Study hours exhibit a non-linear plateau:</w:t>
      </w:r>
      <w:r>
        <w:rPr>
          <w:rFonts w:ascii="Times New Roman" w:hAnsi="Times New Roman"/>
          <w:b w:val="0"/>
          <w:i w:val="0"/>
          <w:color w:val="000000"/>
          <w:sz w:val="19"/>
        </w:rPr>
        <w:t xml:space="preserve"> Median grade improves from approximately 1.5 (DD) to 3.0 (CC) between zero and 6-10 weekly study hours, but does not increase further for &gt;20 hours.</w:t>
      </w:r>
    </w:p>
    <w:p>
      <w:pPr>
        <w:spacing w:before="0" w:after="20" w:line="254" w:lineRule="auto"/>
        <w:ind w:left="259" w:hanging="173"/>
        <w:jc w:val="both"/>
      </w:pPr>
      <w:r>
        <w:rPr>
          <w:rFonts w:ascii="Times New Roman" w:hAnsi="Times New Roman"/>
          <w:b/>
          <w:color w:val="1F4E78"/>
          <w:sz w:val="19"/>
        </w:rPr>
        <w:t xml:space="preserve">4. </w:t>
      </w:r>
      <w:r>
        <w:rPr>
          <w:rFonts w:ascii="Times New Roman" w:hAnsi="Times New Roman"/>
          <w:b/>
          <w:i w:val="0"/>
          <w:color w:val="000000"/>
          <w:sz w:val="19"/>
        </w:rPr>
        <w:t>Course assignment is a powerful institutional confounder:</w:t>
      </w:r>
      <w:r>
        <w:rPr>
          <w:rFonts w:ascii="Times New Roman" w:hAnsi="Times New Roman"/>
          <w:b w:val="0"/>
          <w:i w:val="0"/>
          <w:color w:val="000000"/>
          <w:sz w:val="19"/>
        </w:rPr>
        <w:t xml:space="preserve"> 100% of Course 8 students scored DC or below, while 86.7% of Course 7 students attained BA or AA.</w:t>
      </w:r>
    </w:p>
    <w:p>
      <w:pPr>
        <w:spacing w:before="0" w:after="20" w:line="254" w:lineRule="auto"/>
        <w:ind w:left="259" w:hanging="173"/>
        <w:jc w:val="both"/>
      </w:pPr>
      <w:r>
        <w:rPr>
          <w:rFonts w:ascii="Times New Roman" w:hAnsi="Times New Roman"/>
          <w:b/>
          <w:color w:val="1F4E78"/>
          <w:sz w:val="19"/>
        </w:rPr>
        <w:t xml:space="preserve">5. </w:t>
      </w:r>
      <w:r>
        <w:rPr>
          <w:rFonts w:ascii="Times New Roman" w:hAnsi="Times New Roman"/>
          <w:b/>
          <w:i w:val="0"/>
          <w:color w:val="000000"/>
          <w:sz w:val="19"/>
        </w:rPr>
        <w:t>GPA features are multicollinear:</w:t>
      </w:r>
      <w:r>
        <w:rPr>
          <w:rFonts w:ascii="Times New Roman" w:hAnsi="Times New Roman"/>
          <w:b w:val="0"/>
          <w:i w:val="0"/>
          <w:color w:val="000000"/>
          <w:sz w:val="19"/>
        </w:rPr>
        <w:t xml:space="preserve"> Prior GPA and Expected GPA exhibit a Pearson correlation of 0.658, warranting ablation analysis.</w:t>
      </w:r>
    </w:p>
    <w:p>
      <w:pPr>
        <w:spacing w:before="0" w:after="20" w:line="254" w:lineRule="auto"/>
        <w:ind w:left="259" w:hanging="173"/>
        <w:jc w:val="both"/>
      </w:pPr>
      <w:r>
        <w:rPr>
          <w:rFonts w:ascii="Times New Roman" w:hAnsi="Times New Roman"/>
          <w:b/>
          <w:color w:val="1F4E78"/>
          <w:sz w:val="19"/>
        </w:rPr>
        <w:t xml:space="preserve">6. </w:t>
      </w:r>
      <w:r>
        <w:rPr>
          <w:rFonts w:ascii="Times New Roman" w:hAnsi="Times New Roman"/>
          <w:b/>
          <w:i w:val="0"/>
          <w:color w:val="000000"/>
          <w:sz w:val="19"/>
        </w:rPr>
        <w:t>The grade distribution is overdispersed:</w:t>
      </w:r>
      <w:r>
        <w:rPr>
          <w:rFonts w:ascii="Times New Roman" w:hAnsi="Times New Roman"/>
          <w:b w:val="0"/>
          <w:i w:val="0"/>
          <w:color w:val="000000"/>
          <w:sz w:val="19"/>
        </w:rPr>
        <w:t xml:space="preserve"> The dispersion index (variance/mean = 1.496) exceeds 1.0, violating equidispersed Poisson and Binomial assumptions.</w:t>
      </w:r>
    </w:p>
    <w:p>
      <w:pPr>
        <w:pStyle w:val="Heading1"/>
        <w:keepNext/>
        <w:spacing w:before="180" w:after="40"/>
      </w:pPr>
      <w:r>
        <w:rPr>
          <w:rFonts w:ascii="Times New Roman" w:hAnsi="Times New Roman"/>
          <w:b/>
          <w:color w:val="1F4E78"/>
          <w:sz w:val="22"/>
        </w:rPr>
        <w:t>4. COMPREHENSIVE DATA VISUALIZATION CATALOG (CO3 &amp; CO4)</w:t>
      </w:r>
    </w:p>
    <w:p>
      <w:pPr>
        <w:spacing w:before="0" w:after="36" w:line="254" w:lineRule="auto"/>
        <w:jc w:val="both"/>
      </w:pPr>
      <w:r>
        <w:rPr>
          <w:rFonts w:ascii="Times New Roman" w:hAnsi="Times New Roman"/>
          <w:b w:val="0"/>
          <w:i w:val="0"/>
          <w:color w:val="000000"/>
          <w:sz w:val="20"/>
        </w:rPr>
        <w:t>This section presents the complete visualisation suite developed for this case study, organised according to Ben Fry's seven-stage framework [2]. A total of 34 static publication-grade figures were produced at 300 DPI resolution, and 6 interactive Plotly HTML dashboards were created for exploratory interaction. All visualisations use the Seaborn "muted" colourblind-safe palette unless otherwise noted.</w:t>
      </w:r>
    </w:p>
    <w:p>
      <w:pPr>
        <w:pStyle w:val="Heading2"/>
        <w:keepNext/>
        <w:spacing w:before="120" w:after="30"/>
      </w:pPr>
      <w:r>
        <w:rPr>
          <w:rFonts w:ascii="Times New Roman" w:hAnsi="Times New Roman"/>
          <w:b/>
          <w:color w:val="1F4E78"/>
          <w:sz w:val="20"/>
        </w:rPr>
        <w:t>5.1 Ben Fry's Seven Stages: Mapping to Figures</w:t>
      </w:r>
    </w:p>
    <w:p>
      <w:pPr>
        <w:spacing w:before="0" w:after="36" w:line="254" w:lineRule="auto"/>
        <w:jc w:val="both"/>
      </w:pPr>
      <w:r>
        <w:rPr>
          <w:rFonts w:ascii="Times New Roman" w:hAnsi="Times New Roman"/>
          <w:b w:val="0"/>
          <w:i w:val="0"/>
          <w:color w:val="000000"/>
          <w:sz w:val="20"/>
        </w:rPr>
        <w:t>Table 9 maps each of Ben Fry's seven stages to the corresponding notebook sections and figure numbers.</w:t>
      </w:r>
    </w:p>
    <w:p>
      <w:pPr>
        <w:spacing w:before="0" w:after="36" w:line="254" w:lineRule="auto"/>
        <w:jc w:val="both"/>
      </w:pPr>
      <w:r>
        <w:rPr>
          <w:rFonts w:ascii="Times New Roman" w:hAnsi="Times New Roman"/>
          <w:b/>
          <w:i w:val="0"/>
          <w:color w:val="000000"/>
          <w:sz w:val="20"/>
        </w:rPr>
        <w:t>Table 9. Ben Fry's Seven Stages of Visualisation: Mapping to Notebook Sections and Figures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trPr>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Stage</w:t>
            </w:r>
          </w:p>
        </w:tc>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Name</w:t>
            </w:r>
          </w:p>
        </w:tc>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Notebook Section</w:t>
            </w:r>
          </w:p>
        </w:tc>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Figures</w:t>
            </w:r>
          </w:p>
        </w:tc>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Description</w:t>
            </w:r>
          </w:p>
        </w:tc>
      </w:tr>
      <w:tr>
        <w:trPr>
          <w:cantSplit/>
        </w:trPr>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1</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Acquire</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Section 4</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Load raw CSV; verify 145 rows x 33 columns</w:t>
            </w:r>
          </w:p>
        </w:tc>
      </w:tr>
      <w:tr>
        <w:trPr>
          <w:cantSplit/>
        </w:trPr>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2</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Parse</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Section 4</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Rename columns, decode integer labels, set dtypes</w:t>
            </w:r>
          </w:p>
        </w:tc>
      </w:tr>
      <w:tr>
        <w:trPr>
          <w:cantSplit/>
        </w:trPr>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3</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Filter</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Section 5</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Fig. 5, 6</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Quality audit, outlier analysis, feature engineering</w:t>
            </w:r>
          </w:p>
        </w:tc>
      </w:tr>
      <w:tr>
        <w:trPr>
          <w:cantSplit/>
        </w:trPr>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4</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Mine</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Section 5-6</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Fig. 7-14</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Hypothesis tests, distribution fitting, correlation analysis</w:t>
            </w:r>
          </w:p>
        </w:tc>
      </w:tr>
      <w:tr>
        <w:trPr>
          <w:cantSplit/>
        </w:trPr>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5</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Represent</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Section 6</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Fig. 1-4, 15-22</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Full univariate, bivariate, and multivariate atlas</w:t>
            </w:r>
          </w:p>
        </w:tc>
      </w:tr>
      <w:tr>
        <w:trPr>
          <w:cantSplit/>
        </w:trPr>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6</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Refine</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Section 6.6</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Fig. R</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Before-vs-after design demonstration</w:t>
            </w:r>
          </w:p>
        </w:tc>
      </w:tr>
      <w:tr>
        <w:trPr>
          <w:cantSplit/>
        </w:trPr>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7</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Interact</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Section 6.6</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6 HTML dashboards</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Plotly interactive filtering, brushing, 3-D projection</w:t>
            </w:r>
          </w:p>
        </w:tc>
      </w:tr>
    </w:tbl>
    <w:p>
      <w:pPr>
        <w:spacing w:before="0" w:after="40"/>
      </w:pPr>
    </w:p>
    <w:p>
      <w:pPr>
        <w:pStyle w:val="Heading2"/>
        <w:keepNext/>
        <w:spacing w:before="120" w:after="30"/>
      </w:pPr>
      <w:r>
        <w:rPr>
          <w:rFonts w:ascii="Times New Roman" w:hAnsi="Times New Roman"/>
          <w:b/>
          <w:color w:val="1F4E78"/>
          <w:sz w:val="20"/>
        </w:rPr>
        <w:t>5.2 Stage 5 --- Represent: Univariate Visualisations</w:t>
      </w:r>
    </w:p>
    <w:p>
      <w:pPr>
        <w:pStyle w:val="Heading3"/>
        <w:keepNext/>
        <w:spacing w:before="80" w:after="20"/>
      </w:pPr>
      <w:r>
        <w:rPr>
          <w:rFonts w:ascii="Times New Roman" w:hAnsi="Times New Roman"/>
          <w:b/>
          <w:color w:val="2B547E"/>
          <w:sz w:val="19"/>
        </w:rPr>
        <w:t>5.2.1 Target Variable Distribution (Fig. 1)</w:t>
      </w:r>
    </w:p>
    <w:p>
      <w:pPr>
        <w:spacing w:before="0" w:after="36" w:line="254" w:lineRule="auto"/>
        <w:jc w:val="both"/>
      </w:pPr>
      <w:r>
        <w:rPr>
          <w:rFonts w:ascii="Times New Roman" w:hAnsi="Times New Roman"/>
          <w:b w:val="0"/>
          <w:i w:val="0"/>
          <w:color w:val="000000"/>
          <w:sz w:val="20"/>
        </w:rPr>
        <w:t>Figure 1 presents a dual-panel visualisation of the target variable. The left panel is a bar chart showing the count and percentage of each of the eight letter grades (Fail through AA), with each bar annotated with the exact count. The right panel is a donut chart of the three-tier Grade_Group classification (Low: 46.2%, Medium: 21.4%, High: 32.4%). The bimodal character of the grade distribution is immediately apparent: a dominant peak at DD (n = 35, 24.1%) and a secondary plateau across BB-AA (n = 34, 23.4% combined). The donut chart conveys the practical implication that nearly half the cohort falls into the Low attainment tier, representing the primary target population for early-warning interventions.</w:t>
      </w:r>
    </w:p>
    <w:p>
      <w:pPr>
        <w:keepNext/>
        <w:spacing w:before="50" w:after="20"/>
        <w:jc w:val="center"/>
      </w:pPr>
      <w:r>
        <w:drawing>
          <wp:inline xmlns:a="http://schemas.openxmlformats.org/drawingml/2006/main" xmlns:pic="http://schemas.openxmlformats.org/drawingml/2006/picture">
            <wp:extent cx="3520440" cy="1383030"/>
            <wp:docPr id="2" name="Picture 2"/>
            <wp:cNvGraphicFramePr>
              <a:graphicFrameLocks noChangeAspect="1"/>
            </wp:cNvGraphicFramePr>
            <a:graphic>
              <a:graphicData uri="http://schemas.openxmlformats.org/drawingml/2006/picture">
                <pic:pic>
                  <pic:nvPicPr>
                    <pic:cNvPr id="0" name="fig01_grade_distribution.png"/>
                    <pic:cNvPicPr/>
                  </pic:nvPicPr>
                  <pic:blipFill>
                    <a:blip r:embed="rId11"/>
                    <a:stretch>
                      <a:fillRect/>
                    </a:stretch>
                  </pic:blipFill>
                  <pic:spPr>
                    <a:xfrm>
                      <a:off x="0" y="0"/>
                      <a:ext cx="3520440" cy="1383030"/>
                    </a:xfrm>
                    <a:prstGeom prst="rect"/>
                  </pic:spPr>
                </pic:pic>
              </a:graphicData>
            </a:graphic>
          </wp:inline>
        </w:drawing>
      </w:r>
    </w:p>
    <w:p>
      <w:pPr>
        <w:keepNext/>
        <w:spacing w:before="10" w:after="40"/>
        <w:jc w:val="center"/>
      </w:pPr>
      <w:r>
        <w:rPr>
          <w:rFonts w:ascii="Times New Roman" w:hAnsi="Times New Roman"/>
          <w:i/>
          <w:color w:val="000000"/>
          <w:sz w:val="17"/>
        </w:rPr>
        <w:t>Fig. 1. End-of-term grade distribution (counts and percentages) and Grade_Group target tier donut chart</w:t>
      </w:r>
    </w:p>
    <w:p>
      <w:pPr>
        <w:pStyle w:val="Heading3"/>
        <w:keepNext/>
        <w:spacing w:before="80" w:after="20"/>
      </w:pPr>
      <w:r>
        <w:rPr>
          <w:rFonts w:ascii="Times New Roman" w:hAnsi="Times New Roman"/>
          <w:b/>
          <w:color w:val="2B547E"/>
          <w:sz w:val="19"/>
        </w:rPr>
        <w:t>5.2.2 Personal Demographics (Fig. 2)</w:t>
      </w:r>
    </w:p>
    <w:p>
      <w:pPr>
        <w:spacing w:before="0" w:after="36" w:line="254" w:lineRule="auto"/>
        <w:jc w:val="both"/>
      </w:pPr>
      <w:r>
        <w:rPr>
          <w:rFonts w:ascii="Times New Roman" w:hAnsi="Times New Roman"/>
          <w:b w:val="0"/>
          <w:i w:val="0"/>
          <w:color w:val="000000"/>
          <w:sz w:val="20"/>
        </w:rPr>
        <w:t>Figure 2 is a 2 x 5 small-multiple grid of bar charts covering the ten personal demographic variables (Q1-Q10). Key observations include:</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Age:</w:t>
      </w:r>
      <w:r>
        <w:rPr>
          <w:rFonts w:ascii="Times New Roman" w:hAnsi="Times New Roman"/>
          <w:b w:val="0"/>
          <w:i w:val="0"/>
          <w:color w:val="000000"/>
          <w:sz w:val="19"/>
        </w:rPr>
        <w:t xml:space="preserve"> The 18-21 bracket dominates (approximately 80% of students), consistent with a traditional undergraduate cohort.</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Sex:</w:t>
      </w:r>
      <w:r>
        <w:rPr>
          <w:rFonts w:ascii="Times New Roman" w:hAnsi="Times New Roman"/>
          <w:b w:val="0"/>
          <w:i w:val="0"/>
          <w:color w:val="000000"/>
          <w:sz w:val="19"/>
        </w:rPr>
        <w:t xml:space="preserve"> Approximately balanced, with a slight female majority.</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Scholarship:</w:t>
      </w:r>
      <w:r>
        <w:rPr>
          <w:rFonts w:ascii="Times New Roman" w:hAnsi="Times New Roman"/>
          <w:b w:val="0"/>
          <w:i w:val="0"/>
          <w:color w:val="000000"/>
          <w:sz w:val="19"/>
        </w:rPr>
        <w:t xml:space="preserve"> The largest group holds no scholarship (None), with progressively fewer students at higher scholarship tiers.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Transportation:</w:t>
      </w:r>
      <w:r>
        <w:rPr>
          <w:rFonts w:ascii="Times New Roman" w:hAnsi="Times New Roman"/>
          <w:b w:val="0"/>
          <w:i w:val="0"/>
          <w:color w:val="000000"/>
          <w:sz w:val="19"/>
        </w:rPr>
        <w:t xml:space="preserve"> Bus is the primary mode, followed by private car/taxi.</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Accommodation:</w:t>
      </w:r>
      <w:r>
        <w:rPr>
          <w:rFonts w:ascii="Times New Roman" w:hAnsi="Times New Roman"/>
          <w:b w:val="0"/>
          <w:i w:val="0"/>
          <w:color w:val="000000"/>
          <w:sz w:val="19"/>
        </w:rPr>
        <w:t xml:space="preserve"> Dormitory and rental housing are approximately equally prevalent.</w:t>
      </w:r>
    </w:p>
    <w:p>
      <w:pPr>
        <w:spacing w:before="0" w:after="36" w:line="254" w:lineRule="auto"/>
        <w:jc w:val="both"/>
      </w:pPr>
      <w:r>
        <w:rPr>
          <w:rFonts w:ascii="Times New Roman" w:hAnsi="Times New Roman"/>
          <w:b w:val="0"/>
          <w:i w:val="0"/>
          <w:color w:val="000000"/>
          <w:sz w:val="20"/>
        </w:rPr>
        <w:t>Each bar is annotated with its count to facilitate precise reading. The uniform layout enables rapid visual comparison across variables.</w:t>
      </w:r>
    </w:p>
    <w:p>
      <w:pPr>
        <w:keepNext/>
        <w:spacing w:before="50" w:after="20"/>
        <w:jc w:val="center"/>
      </w:pPr>
      <w:r>
        <w:drawing>
          <wp:inline xmlns:a="http://schemas.openxmlformats.org/drawingml/2006/main" xmlns:pic="http://schemas.openxmlformats.org/drawingml/2006/picture">
            <wp:extent cx="3520440" cy="1513552"/>
            <wp:docPr id="3" name="Picture 3"/>
            <wp:cNvGraphicFramePr>
              <a:graphicFrameLocks noChangeAspect="1"/>
            </wp:cNvGraphicFramePr>
            <a:graphic>
              <a:graphicData uri="http://schemas.openxmlformats.org/drawingml/2006/picture">
                <pic:pic>
                  <pic:nvPicPr>
                    <pic:cNvPr id="0" name="fig02_personal_demographics.png"/>
                    <pic:cNvPicPr/>
                  </pic:nvPicPr>
                  <pic:blipFill>
                    <a:blip r:embed="rId12"/>
                    <a:stretch>
                      <a:fillRect/>
                    </a:stretch>
                  </pic:blipFill>
                  <pic:spPr>
                    <a:xfrm>
                      <a:off x="0" y="0"/>
                      <a:ext cx="3520440" cy="1513552"/>
                    </a:xfrm>
                    <a:prstGeom prst="rect"/>
                  </pic:spPr>
                </pic:pic>
              </a:graphicData>
            </a:graphic>
          </wp:inline>
        </w:drawing>
      </w:r>
    </w:p>
    <w:p>
      <w:pPr>
        <w:keepNext/>
        <w:spacing w:before="10" w:after="40"/>
        <w:jc w:val="center"/>
      </w:pPr>
      <w:r>
        <w:rPr>
          <w:rFonts w:ascii="Times New Roman" w:hAnsi="Times New Roman"/>
          <w:i/>
          <w:color w:val="000000"/>
          <w:sz w:val="17"/>
        </w:rPr>
        <w:t>Fig. 2. Univariate demographics: personal characteristics (Q1-Q10) small-multiple bar charts</w:t>
      </w:r>
    </w:p>
    <w:p>
      <w:pPr>
        <w:pStyle w:val="Heading3"/>
        <w:keepNext/>
        <w:spacing w:before="80" w:after="20"/>
      </w:pPr>
      <w:r>
        <w:rPr>
          <w:rFonts w:ascii="Times New Roman" w:hAnsi="Times New Roman"/>
          <w:b/>
          <w:color w:val="2B547E"/>
          <w:sz w:val="19"/>
        </w:rPr>
        <w:t>5.2.3 Family Background (Fig. 3)</w:t>
      </w:r>
    </w:p>
    <w:p>
      <w:pPr>
        <w:spacing w:before="0" w:after="36" w:line="254" w:lineRule="auto"/>
        <w:jc w:val="both"/>
      </w:pPr>
      <w:r>
        <w:rPr>
          <w:rFonts w:ascii="Times New Roman" w:hAnsi="Times New Roman"/>
          <w:b w:val="0"/>
          <w:i w:val="0"/>
          <w:color w:val="000000"/>
          <w:sz w:val="20"/>
        </w:rPr>
        <w:t>Figure 3 presents a 2 x 3 small-multiple grid for the six family background variables (Q11-Q16). Notable patterns: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Parental education:</w:t>
      </w:r>
      <w:r>
        <w:rPr>
          <w:rFonts w:ascii="Times New Roman" w:hAnsi="Times New Roman"/>
          <w:b w:val="0"/>
          <w:i w:val="0"/>
          <w:color w:val="000000"/>
          <w:sz w:val="19"/>
        </w:rPr>
        <w:t xml:space="preserve"> Both mother's and father's education distributions peak at the high-school level, with a progressive decline at university and postgraduate levels.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Siblings:</w:t>
      </w:r>
      <w:r>
        <w:rPr>
          <w:rFonts w:ascii="Times New Roman" w:hAnsi="Times New Roman"/>
          <w:b w:val="0"/>
          <w:i w:val="0"/>
          <w:color w:val="000000"/>
          <w:sz w:val="19"/>
        </w:rPr>
        <w:t xml:space="preserve"> The modal category is 2 siblings, with a right-skewed tail toward 5+.</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Parental status:</w:t>
      </w:r>
      <w:r>
        <w:rPr>
          <w:rFonts w:ascii="Times New Roman" w:hAnsi="Times New Roman"/>
          <w:b w:val="0"/>
          <w:i w:val="0"/>
          <w:color w:val="000000"/>
          <w:sz w:val="19"/>
        </w:rPr>
        <w:t xml:space="preserve"> The overwhelming majority of students report married parents, with divorced and deceased categories representing small minorities.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Parental occupation:</w:t>
      </w:r>
      <w:r>
        <w:rPr>
          <w:rFonts w:ascii="Times New Roman" w:hAnsi="Times New Roman"/>
          <w:b w:val="0"/>
          <w:i w:val="0"/>
          <w:color w:val="000000"/>
          <w:sz w:val="19"/>
        </w:rPr>
        <w:t xml:space="preserve"> Housewife is the dominant category for mothers, while fathers show a more dispersed distribution across government, private, and self-employed sectors.</w:t>
      </w:r>
    </w:p>
    <w:p>
      <w:pPr>
        <w:keepNext/>
        <w:spacing w:before="50" w:after="20"/>
        <w:jc w:val="center"/>
      </w:pPr>
      <w:r>
        <w:drawing>
          <wp:inline xmlns:a="http://schemas.openxmlformats.org/drawingml/2006/main" xmlns:pic="http://schemas.openxmlformats.org/drawingml/2006/picture">
            <wp:extent cx="3520440" cy="1817264"/>
            <wp:docPr id="4" name="Picture 4"/>
            <wp:cNvGraphicFramePr>
              <a:graphicFrameLocks noChangeAspect="1"/>
            </wp:cNvGraphicFramePr>
            <a:graphic>
              <a:graphicData uri="http://schemas.openxmlformats.org/drawingml/2006/picture">
                <pic:pic>
                  <pic:nvPicPr>
                    <pic:cNvPr id="0" name="fig03_family_background.png"/>
                    <pic:cNvPicPr/>
                  </pic:nvPicPr>
                  <pic:blipFill>
                    <a:blip r:embed="rId13"/>
                    <a:stretch>
                      <a:fillRect/>
                    </a:stretch>
                  </pic:blipFill>
                  <pic:spPr>
                    <a:xfrm>
                      <a:off x="0" y="0"/>
                      <a:ext cx="3520440" cy="1817264"/>
                    </a:xfrm>
                    <a:prstGeom prst="rect"/>
                  </pic:spPr>
                </pic:pic>
              </a:graphicData>
            </a:graphic>
          </wp:inline>
        </w:drawing>
      </w:r>
    </w:p>
    <w:p>
      <w:pPr>
        <w:keepNext/>
        <w:spacing w:before="10" w:after="40"/>
        <w:jc w:val="center"/>
      </w:pPr>
      <w:r>
        <w:rPr>
          <w:rFonts w:ascii="Times New Roman" w:hAnsi="Times New Roman"/>
          <w:i/>
          <w:color w:val="000000"/>
          <w:sz w:val="17"/>
        </w:rPr>
        <w:t>Fig. 3. Family socioeconomic indicators (Q11-Q16) small-multiple bar charts</w:t>
      </w:r>
    </w:p>
    <w:p>
      <w:pPr>
        <w:pStyle w:val="Heading3"/>
        <w:keepNext/>
        <w:spacing w:before="80" w:after="20"/>
      </w:pPr>
      <w:r>
        <w:rPr>
          <w:rFonts w:ascii="Times New Roman" w:hAnsi="Times New Roman"/>
          <w:b/>
          <w:color w:val="2B547E"/>
          <w:sz w:val="19"/>
        </w:rPr>
        <w:t>5.2.4 Academic Habits and Engagement (Fig. 4)</w:t>
      </w:r>
    </w:p>
    <w:p>
      <w:pPr>
        <w:spacing w:before="0" w:after="36" w:line="254" w:lineRule="auto"/>
        <w:jc w:val="both"/>
      </w:pPr>
      <w:r>
        <w:rPr>
          <w:rFonts w:ascii="Times New Roman" w:hAnsi="Times New Roman"/>
          <w:b w:val="0"/>
          <w:i w:val="0"/>
          <w:color w:val="000000"/>
          <w:sz w:val="20"/>
        </w:rPr>
        <w:t>Figure 4 is a 4 x 4 small-multiple grid for the fourteen academic behaviour variables (Q17-Q30). This is the richest univariate panel and reveals several instructive patterns: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Study hours:</w:t>
      </w:r>
      <w:r>
        <w:rPr>
          <w:rFonts w:ascii="Times New Roman" w:hAnsi="Times New Roman"/>
          <w:b w:val="0"/>
          <w:i w:val="0"/>
          <w:color w:val="000000"/>
          <w:sz w:val="19"/>
        </w:rPr>
        <w:t xml:space="preserve"> The modal category is "&lt;5 hours" per week, with very few students reporting "&gt;20 hours".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Attendance:</w:t>
      </w:r>
      <w:r>
        <w:rPr>
          <w:rFonts w:ascii="Times New Roman" w:hAnsi="Times New Roman"/>
          <w:b w:val="0"/>
          <w:i w:val="0"/>
          <w:color w:val="000000"/>
          <w:sz w:val="19"/>
        </w:rPr>
        <w:t xml:space="preserve"> 75.9% of students report always attending lectures; none report never attending.</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Note-taking, listening, and discussion:</w:t>
      </w:r>
      <w:r>
        <w:rPr>
          <w:rFonts w:ascii="Times New Roman" w:hAnsi="Times New Roman"/>
          <w:b w:val="0"/>
          <w:i w:val="0"/>
          <w:color w:val="000000"/>
          <w:sz w:val="19"/>
        </w:rPr>
        <w:t xml:space="preserve"> These three in-class behaviours show strong right-skewing toward the "Always" or "Sometimes" categories.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Prior GPA (GPA_Last):</w:t>
      </w:r>
      <w:r>
        <w:rPr>
          <w:rFonts w:ascii="Times New Roman" w:hAnsi="Times New Roman"/>
          <w:b w:val="0"/>
          <w:i w:val="0"/>
          <w:color w:val="000000"/>
          <w:sz w:val="19"/>
        </w:rPr>
        <w:t xml:space="preserve"> The distribution is approximately uniform across the 2.00-2.49, 2.50-2.99, and 3.00-3.49 bands, with smaller tails at &lt;2.00 and &gt;3.49.</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Expected GPA (GPA_Expected):</w:t>
      </w:r>
      <w:r>
        <w:rPr>
          <w:rFonts w:ascii="Times New Roman" w:hAnsi="Times New Roman"/>
          <w:b w:val="0"/>
          <w:i w:val="0"/>
          <w:color w:val="000000"/>
          <w:sz w:val="19"/>
        </w:rPr>
        <w:t xml:space="preserve"> Concentrated in the 2.50-2.99 and 3.00-3.49 bands, with no students expecting &gt;3.49.</w:t>
      </w:r>
    </w:p>
    <w:p>
      <w:pPr>
        <w:keepNext/>
        <w:spacing w:before="50" w:after="20"/>
        <w:jc w:val="center"/>
      </w:pPr>
      <w:r>
        <w:drawing>
          <wp:inline xmlns:a="http://schemas.openxmlformats.org/drawingml/2006/main" xmlns:pic="http://schemas.openxmlformats.org/drawingml/2006/picture">
            <wp:extent cx="3520440" cy="1975256"/>
            <wp:docPr id="5" name="Picture 5"/>
            <wp:cNvGraphicFramePr>
              <a:graphicFrameLocks noChangeAspect="1"/>
            </wp:cNvGraphicFramePr>
            <a:graphic>
              <a:graphicData uri="http://schemas.openxmlformats.org/drawingml/2006/picture">
                <pic:pic>
                  <pic:nvPicPr>
                    <pic:cNvPr id="0" name="fig04_study_habits.png"/>
                    <pic:cNvPicPr/>
                  </pic:nvPicPr>
                  <pic:blipFill>
                    <a:blip r:embed="rId14"/>
                    <a:stretch>
                      <a:fillRect/>
                    </a:stretch>
                  </pic:blipFill>
                  <pic:spPr>
                    <a:xfrm>
                      <a:off x="0" y="0"/>
                      <a:ext cx="3520440" cy="1975256"/>
                    </a:xfrm>
                    <a:prstGeom prst="rect"/>
                  </pic:spPr>
                </pic:pic>
              </a:graphicData>
            </a:graphic>
          </wp:inline>
        </w:drawing>
      </w:r>
    </w:p>
    <w:p>
      <w:pPr>
        <w:keepNext/>
        <w:spacing w:before="10" w:after="40"/>
        <w:jc w:val="center"/>
      </w:pPr>
      <w:r>
        <w:rPr>
          <w:rFonts w:ascii="Times New Roman" w:hAnsi="Times New Roman"/>
          <w:i/>
          <w:color w:val="000000"/>
          <w:sz w:val="17"/>
        </w:rPr>
        <w:t>Fig. 4. Academic habits and cognitive engagement (Q17-Q30) small-multiple bar charts</w:t>
      </w:r>
    </w:p>
    <w:p>
      <w:pPr>
        <w:pStyle w:val="Heading3"/>
        <w:keepNext/>
        <w:spacing w:before="80" w:after="20"/>
      </w:pPr>
      <w:r>
        <w:rPr>
          <w:rFonts w:ascii="Times New Roman" w:hAnsi="Times New Roman"/>
          <w:b/>
          <w:color w:val="2B547E"/>
          <w:sz w:val="19"/>
        </w:rPr>
        <w:t>5.2.5 Engineered Score Distributions (Fig. 5 and Fig. 6)</w:t>
      </w:r>
    </w:p>
    <w:p>
      <w:pPr>
        <w:spacing w:before="0" w:after="36" w:line="254" w:lineRule="auto"/>
        <w:jc w:val="both"/>
      </w:pPr>
      <w:r>
        <w:rPr>
          <w:rFonts w:ascii="Times New Roman" w:hAnsi="Times New Roman"/>
          <w:b w:val="0"/>
          <w:i w:val="0"/>
          <w:color w:val="000000"/>
          <w:sz w:val="20"/>
        </w:rPr>
        <w:t>Figure 5 presents box-violin-strip composite plots for the four engineered scores (Study</w:t>
      </w:r>
      <w:r>
        <w:rPr>
          <w:rFonts w:ascii="Times New Roman" w:hAnsi="Times New Roman"/>
          <w:b w:val="0"/>
          <w:i/>
          <w:color w:val="000000"/>
          <w:sz w:val="20"/>
        </w:rPr>
        <w:t>Engagement, Class</w:t>
      </w:r>
      <w:r>
        <w:rPr>
          <w:rFonts w:ascii="Times New Roman" w:hAnsi="Times New Roman"/>
          <w:b w:val="0"/>
          <w:i w:val="0"/>
          <w:color w:val="000000"/>
          <w:sz w:val="20"/>
        </w:rPr>
        <w:t>Behaviour, Family</w:t>
      </w:r>
      <w:r>
        <w:rPr>
          <w:rFonts w:ascii="Times New Roman" w:hAnsi="Times New Roman"/>
          <w:b w:val="0"/>
          <w:i/>
          <w:color w:val="000000"/>
          <w:sz w:val="20"/>
        </w:rPr>
        <w:t>Education, Aspiration</w:t>
      </w:r>
      <w:r>
        <w:rPr>
          <w:rFonts w:ascii="Times New Roman" w:hAnsi="Times New Roman"/>
          <w:b w:val="0"/>
          <w:i w:val="0"/>
          <w:color w:val="000000"/>
          <w:sz w:val="20"/>
        </w:rPr>
        <w:t>Gap), stratified by Grade_Group. The violin envelopes reveal the full distributional shape, the box plots mark the IQR and median, and the jittered strip plots show every individual data point (n = 145). Key observations: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Study_Engagement:</w:t>
      </w:r>
      <w:r>
        <w:rPr>
          <w:rFonts w:ascii="Times New Roman" w:hAnsi="Times New Roman"/>
          <w:b w:val="0"/>
          <w:i w:val="0"/>
          <w:color w:val="000000"/>
          <w:sz w:val="19"/>
        </w:rPr>
        <w:t xml:space="preserve"> All three Grade_Group tiers show similar medians (approximately 8.0), suggesting that study engagement alone does not discriminate strongly between attainment levels.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Class_Behaviour:</w:t>
      </w:r>
      <w:r>
        <w:rPr>
          <w:rFonts w:ascii="Times New Roman" w:hAnsi="Times New Roman"/>
          <w:b w:val="0"/>
          <w:i w:val="0"/>
          <w:color w:val="000000"/>
          <w:sz w:val="19"/>
        </w:rPr>
        <w:t xml:space="preserve"> The High tier shows a marginally higher median than the Low tier, but the overlap is substantial.</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Family_Education:</w:t>
      </w:r>
      <w:r>
        <w:rPr>
          <w:rFonts w:ascii="Times New Roman" w:hAnsi="Times New Roman"/>
          <w:b w:val="0"/>
          <w:i w:val="0"/>
          <w:color w:val="000000"/>
          <w:sz w:val="19"/>
        </w:rPr>
        <w:t xml:space="preserve"> No meaningful differentiation across tiers.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Aspiration_Gap:</w:t>
      </w:r>
      <w:r>
        <w:rPr>
          <w:rFonts w:ascii="Times New Roman" w:hAnsi="Times New Roman"/>
          <w:b w:val="0"/>
          <w:i w:val="0"/>
          <w:color w:val="000000"/>
          <w:sz w:val="19"/>
        </w:rPr>
        <w:t xml:space="preserve"> The Low tier has a slightly more negative median, indicating that lower-performing students tend to expect a GPA below their prior standing.</w:t>
      </w:r>
    </w:p>
    <w:p>
      <w:pPr>
        <w:spacing w:before="0" w:after="36" w:line="254" w:lineRule="auto"/>
        <w:jc w:val="both"/>
      </w:pPr>
      <w:r>
        <w:rPr>
          <w:rFonts w:ascii="Times New Roman" w:hAnsi="Times New Roman"/>
          <w:b w:val="0"/>
          <w:i w:val="0"/>
          <w:color w:val="000000"/>
          <w:sz w:val="20"/>
        </w:rPr>
        <w:t>Figure 6 presents density histograms with kernel density estimation (KDE) overlays and fitted Gaussian parametric curves for each engineered score. The Gaussian fits are acceptable for Study</w:t>
      </w:r>
      <w:r>
        <w:rPr>
          <w:rFonts w:ascii="Times New Roman" w:hAnsi="Times New Roman"/>
          <w:b w:val="0"/>
          <w:i/>
          <w:color w:val="000000"/>
          <w:sz w:val="20"/>
        </w:rPr>
        <w:t>Engagement and Family</w:t>
      </w:r>
      <w:r>
        <w:rPr>
          <w:rFonts w:ascii="Times New Roman" w:hAnsi="Times New Roman"/>
          <w:b w:val="0"/>
          <w:i w:val="0"/>
          <w:color w:val="000000"/>
          <w:sz w:val="20"/>
        </w:rPr>
        <w:t>Education (bell-shaped envelopes) but poor for Class</w:t>
      </w:r>
      <w:r>
        <w:rPr>
          <w:rFonts w:ascii="Times New Roman" w:hAnsi="Times New Roman"/>
          <w:b w:val="0"/>
          <w:i/>
          <w:color w:val="000000"/>
          <w:sz w:val="20"/>
        </w:rPr>
        <w:t>Behaviour (left-skewed, ceiling-bounded) and Aspiration</w:t>
      </w:r>
      <w:r>
        <w:rPr>
          <w:rFonts w:ascii="Times New Roman" w:hAnsi="Times New Roman"/>
          <w:b w:val="0"/>
          <w:i w:val="0"/>
          <w:color w:val="000000"/>
          <w:sz w:val="20"/>
        </w:rPr>
        <w:t>Gap (discrete, peaked at zero).</w:t>
      </w:r>
    </w:p>
    <w:p>
      <w:pPr>
        <w:keepNext/>
        <w:spacing w:before="50" w:after="20"/>
        <w:jc w:val="center"/>
      </w:pPr>
      <w:r>
        <w:drawing>
          <wp:inline xmlns:a="http://schemas.openxmlformats.org/drawingml/2006/main" xmlns:pic="http://schemas.openxmlformats.org/drawingml/2006/picture">
            <wp:extent cx="3520440" cy="1137179"/>
            <wp:docPr id="6" name="Picture 6"/>
            <wp:cNvGraphicFramePr>
              <a:graphicFrameLocks noChangeAspect="1"/>
            </wp:cNvGraphicFramePr>
            <a:graphic>
              <a:graphicData uri="http://schemas.openxmlformats.org/drawingml/2006/picture">
                <pic:pic>
                  <pic:nvPicPr>
                    <pic:cNvPr id="0" name="fig05_engineered_scores_boxviolin.png"/>
                    <pic:cNvPicPr/>
                  </pic:nvPicPr>
                  <pic:blipFill>
                    <a:blip r:embed="rId15"/>
                    <a:stretch>
                      <a:fillRect/>
                    </a:stretch>
                  </pic:blipFill>
                  <pic:spPr>
                    <a:xfrm>
                      <a:off x="0" y="0"/>
                      <a:ext cx="3520440" cy="1137179"/>
                    </a:xfrm>
                    <a:prstGeom prst="rect"/>
                  </pic:spPr>
                </pic:pic>
              </a:graphicData>
            </a:graphic>
          </wp:inline>
        </w:drawing>
      </w:r>
    </w:p>
    <w:p>
      <w:pPr>
        <w:keepNext/>
        <w:spacing w:before="10" w:after="40"/>
        <w:jc w:val="center"/>
      </w:pPr>
      <w:r>
        <w:rPr>
          <w:rFonts w:ascii="Times New Roman" w:hAnsi="Times New Roman"/>
          <w:i/>
          <w:color w:val="000000"/>
          <w:sz w:val="17"/>
        </w:rPr>
        <w:t>Fig. 5. Box, violin, and strip plots of engineered composite scores</w:t>
      </w:r>
    </w:p>
    <w:p>
      <w:pPr>
        <w:keepNext/>
        <w:spacing w:before="50" w:after="20"/>
        <w:jc w:val="center"/>
      </w:pPr>
      <w:r>
        <w:drawing>
          <wp:inline xmlns:a="http://schemas.openxmlformats.org/drawingml/2006/main" xmlns:pic="http://schemas.openxmlformats.org/drawingml/2006/picture">
            <wp:extent cx="3520440" cy="2081224"/>
            <wp:docPr id="7" name="Picture 7"/>
            <wp:cNvGraphicFramePr>
              <a:graphicFrameLocks noChangeAspect="1"/>
            </wp:cNvGraphicFramePr>
            <a:graphic>
              <a:graphicData uri="http://schemas.openxmlformats.org/drawingml/2006/picture">
                <pic:pic>
                  <pic:nvPicPr>
                    <pic:cNvPr id="0" name="fig06_engineered_scores_dist.png"/>
                    <pic:cNvPicPr/>
                  </pic:nvPicPr>
                  <pic:blipFill>
                    <a:blip r:embed="rId16"/>
                    <a:stretch>
                      <a:fillRect/>
                    </a:stretch>
                  </pic:blipFill>
                  <pic:spPr>
                    <a:xfrm>
                      <a:off x="0" y="0"/>
                      <a:ext cx="3520440" cy="2081224"/>
                    </a:xfrm>
                    <a:prstGeom prst="rect"/>
                  </pic:spPr>
                </pic:pic>
              </a:graphicData>
            </a:graphic>
          </wp:inline>
        </w:drawing>
      </w:r>
    </w:p>
    <w:p>
      <w:pPr>
        <w:keepNext/>
        <w:spacing w:before="10" w:after="40"/>
        <w:jc w:val="center"/>
      </w:pPr>
      <w:r>
        <w:rPr>
          <w:rFonts w:ascii="Times New Roman" w:hAnsi="Times New Roman"/>
          <w:i/>
          <w:color w:val="000000"/>
          <w:sz w:val="17"/>
        </w:rPr>
        <w:t>Fig. 6. Density histograms with KDE and Gaussian parametric curves for engineered scores</w:t>
      </w:r>
    </w:p>
    <w:p>
      <w:pPr>
        <w:pStyle w:val="Heading2"/>
        <w:keepNext/>
        <w:spacing w:before="120" w:after="30"/>
      </w:pPr>
      <w:r>
        <w:rPr>
          <w:rFonts w:ascii="Times New Roman" w:hAnsi="Times New Roman"/>
          <w:b/>
          <w:color w:val="1F4E78"/>
          <w:sz w:val="20"/>
        </w:rPr>
        <w:t>5.3 Stage 4 --- Mine: Probability Distribution Modelling</w:t>
      </w:r>
    </w:p>
    <w:p>
      <w:pPr>
        <w:pStyle w:val="Heading3"/>
        <w:keepNext/>
        <w:spacing w:before="80" w:after="20"/>
      </w:pPr>
      <w:r>
        <w:rPr>
          <w:rFonts w:ascii="Times New Roman" w:hAnsi="Times New Roman"/>
          <w:b/>
          <w:color w:val="2B547E"/>
          <w:sz w:val="19"/>
        </w:rPr>
        <w:t>5.3.1 Discrete Distribution Fitting (Fig. 7)</w:t>
      </w:r>
    </w:p>
    <w:p>
      <w:pPr>
        <w:spacing w:before="0" w:after="36" w:line="254" w:lineRule="auto"/>
        <w:jc w:val="both"/>
      </w:pPr>
      <w:r>
        <w:rPr>
          <w:rFonts w:ascii="Times New Roman" w:hAnsi="Times New Roman"/>
          <w:b w:val="0"/>
          <w:i w:val="0"/>
          <w:color w:val="000000"/>
          <w:sz w:val="20"/>
        </w:rPr>
        <w:t>Figure 7 presents a three-panel comparison of the observed Grade probability mass function (PMF) against two theoretical discrete models: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Poisson (lambda = 3.228):</w:t>
      </w:r>
      <w:r>
        <w:rPr>
          <w:rFonts w:ascii="Times New Roman" w:hAnsi="Times New Roman"/>
          <w:b w:val="0"/>
          <w:i w:val="0"/>
          <w:color w:val="000000"/>
          <w:sz w:val="19"/>
        </w:rPr>
        <w:t xml:space="preserve"> Log-likelihood = -314.94. The Poisson model severely underestimates the probability mass at the extremes (Grade 0 and Grade 7) and overestimates the central grades, producing a poor visual fit.</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Binomial (n = 7, p = 0.461):</w:t>
      </w:r>
      <w:r>
        <w:rPr>
          <w:rFonts w:ascii="Times New Roman" w:hAnsi="Times New Roman"/>
          <w:b w:val="0"/>
          <w:i w:val="0"/>
          <w:color w:val="000000"/>
          <w:sz w:val="19"/>
        </w:rPr>
        <w:t xml:space="preserve"> Log-likelihood = -372.02. The binomial fit is even worse because it forces a single-peaked symmetric shape that cannot accommodate the bimodal observed distribution.</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Discrete Uniform:</w:t>
      </w:r>
      <w:r>
        <w:rPr>
          <w:rFonts w:ascii="Times New Roman" w:hAnsi="Times New Roman"/>
          <w:b w:val="0"/>
          <w:i w:val="0"/>
          <w:color w:val="000000"/>
          <w:sz w:val="19"/>
        </w:rPr>
        <w:t xml:space="preserve"> Log-likelihood = -301.52. The uniform model, while naive, achieves the best log-likelihood because it does not concentrate probability mass away from the empirical peaks.</w:t>
      </w:r>
    </w:p>
    <w:p>
      <w:pPr>
        <w:spacing w:before="0" w:after="36" w:line="254" w:lineRule="auto"/>
        <w:jc w:val="both"/>
      </w:pPr>
      <w:r>
        <w:rPr>
          <w:rFonts w:ascii="Times New Roman" w:hAnsi="Times New Roman"/>
          <w:b w:val="0"/>
          <w:i w:val="0"/>
          <w:color w:val="000000"/>
          <w:sz w:val="20"/>
        </w:rPr>
        <w:t>The third panel overlays the empirical cumulative distribution function (ECDF) against the theoretical CDFs, confirming the systematic deviations. The dispersion index (variance / mean = 4.830 / 3.228 = 1.496) formally quantifies the overdispersion: values exceeding 1.0 indicate that neither the Poisson nor the binomial model is appropriate for this data.</w:t>
      </w:r>
    </w:p>
    <w:p>
      <w:pPr>
        <w:keepNext/>
        <w:spacing w:before="50" w:after="20"/>
        <w:jc w:val="center"/>
      </w:pPr>
      <w:r>
        <w:drawing>
          <wp:inline xmlns:a="http://schemas.openxmlformats.org/drawingml/2006/main" xmlns:pic="http://schemas.openxmlformats.org/drawingml/2006/picture">
            <wp:extent cx="3520440" cy="1290828"/>
            <wp:docPr id="8" name="Picture 8"/>
            <wp:cNvGraphicFramePr>
              <a:graphicFrameLocks noChangeAspect="1"/>
            </wp:cNvGraphicFramePr>
            <a:graphic>
              <a:graphicData uri="http://schemas.openxmlformats.org/drawingml/2006/picture">
                <pic:pic>
                  <pic:nvPicPr>
                    <pic:cNvPr id="0" name="fig07_discrete_distributions.png"/>
                    <pic:cNvPicPr/>
                  </pic:nvPicPr>
                  <pic:blipFill>
                    <a:blip r:embed="rId17"/>
                    <a:stretch>
                      <a:fillRect/>
                    </a:stretch>
                  </pic:blipFill>
                  <pic:spPr>
                    <a:xfrm>
                      <a:off x="0" y="0"/>
                      <a:ext cx="3520440" cy="1290828"/>
                    </a:xfrm>
                    <a:prstGeom prst="rect"/>
                  </pic:spPr>
                </pic:pic>
              </a:graphicData>
            </a:graphic>
          </wp:inline>
        </w:drawing>
      </w:r>
    </w:p>
    <w:p>
      <w:pPr>
        <w:keepNext/>
        <w:spacing w:before="10" w:after="40"/>
        <w:jc w:val="center"/>
      </w:pPr>
      <w:r>
        <w:rPr>
          <w:rFonts w:ascii="Times New Roman" w:hAnsi="Times New Roman"/>
          <w:i/>
          <w:color w:val="000000"/>
          <w:sz w:val="17"/>
        </w:rPr>
        <w:t>Fig. 7. Discrete distribution goodness-of-fit: observed Grade PMF vs Binomial and Poisson models with ECDF</w:t>
      </w:r>
    </w:p>
    <w:p>
      <w:pPr>
        <w:pStyle w:val="Heading3"/>
        <w:keepNext/>
        <w:spacing w:before="80" w:after="20"/>
      </w:pPr>
      <w:r>
        <w:rPr>
          <w:rFonts w:ascii="Times New Roman" w:hAnsi="Times New Roman"/>
          <w:b/>
          <w:color w:val="2B547E"/>
          <w:sz w:val="19"/>
        </w:rPr>
        <w:t>5.3.2 Binomial Cohort Model (Fig. 8)</w:t>
      </w:r>
    </w:p>
    <w:p>
      <w:pPr>
        <w:spacing w:before="0" w:after="36" w:line="254" w:lineRule="auto"/>
        <w:jc w:val="both"/>
      </w:pPr>
      <w:r>
        <w:rPr>
          <w:rFonts w:ascii="Times New Roman" w:hAnsi="Times New Roman"/>
          <w:b w:val="0"/>
          <w:i w:val="0"/>
          <w:color w:val="000000"/>
          <w:sz w:val="20"/>
        </w:rPr>
        <w:t>Figure 8 models a practical cohort-level question: "If a random tutorial group of 10 students is drawn from the population, what is the probability that at least 3 are high performers (Grade_Group = High)?" Using the empirical proportion p = 47/145 = 0.324, the distribution X ~ Bin(10, 0.324) is plotted as a bar chart with the region X &gt;= 3 shaded. The computed probability P(X &gt;= 3) is annotated directly on the figure, demonstrating how the binomial model applies at the cohort planning level even when individual-level grade prediction is challenging.</w:t>
      </w:r>
    </w:p>
    <w:p>
      <w:pPr>
        <w:keepNext/>
        <w:spacing w:before="50" w:after="20"/>
        <w:jc w:val="center"/>
      </w:pPr>
      <w:r>
        <w:drawing>
          <wp:inline xmlns:a="http://schemas.openxmlformats.org/drawingml/2006/main" xmlns:pic="http://schemas.openxmlformats.org/drawingml/2006/picture">
            <wp:extent cx="3520440" cy="1760220"/>
            <wp:docPr id="9" name="Picture 9"/>
            <wp:cNvGraphicFramePr>
              <a:graphicFrameLocks noChangeAspect="1"/>
            </wp:cNvGraphicFramePr>
            <a:graphic>
              <a:graphicData uri="http://schemas.openxmlformats.org/drawingml/2006/picture">
                <pic:pic>
                  <pic:nvPicPr>
                    <pic:cNvPr id="0" name="fig08_binomial_high_performer.png"/>
                    <pic:cNvPicPr/>
                  </pic:nvPicPr>
                  <pic:blipFill>
                    <a:blip r:embed="rId18"/>
                    <a:stretch>
                      <a:fillRect/>
                    </a:stretch>
                  </pic:blipFill>
                  <pic:spPr>
                    <a:xfrm>
                      <a:off x="0" y="0"/>
                      <a:ext cx="3520440" cy="1760220"/>
                    </a:xfrm>
                    <a:prstGeom prst="rect"/>
                  </pic:spPr>
                </pic:pic>
              </a:graphicData>
            </a:graphic>
          </wp:inline>
        </w:drawing>
      </w:r>
    </w:p>
    <w:p>
      <w:pPr>
        <w:keepNext/>
        <w:spacing w:before="10" w:after="40"/>
        <w:jc w:val="center"/>
      </w:pPr>
      <w:r>
        <w:rPr>
          <w:rFonts w:ascii="Times New Roman" w:hAnsi="Times New Roman"/>
          <w:i/>
          <w:color w:val="000000"/>
          <w:sz w:val="17"/>
        </w:rPr>
        <w:t>Fig. 8. Binomial cohort model Bin(10, 0.324) for high performers with P(X &gt;= 3) shaded</w:t>
      </w:r>
    </w:p>
    <w:p>
      <w:pPr>
        <w:pStyle w:val="Heading3"/>
        <w:keepNext/>
        <w:spacing w:before="80" w:after="20"/>
      </w:pPr>
      <w:r>
        <w:rPr>
          <w:rFonts w:ascii="Times New Roman" w:hAnsi="Times New Roman"/>
          <w:b/>
          <w:color w:val="2B547E"/>
          <w:sz w:val="19"/>
        </w:rPr>
        <w:t>5.3.3 Continuous Normality Assessment (Fig. 9)</w:t>
      </w:r>
    </w:p>
    <w:p>
      <w:pPr>
        <w:spacing w:before="0" w:after="36" w:line="254" w:lineRule="auto"/>
        <w:jc w:val="both"/>
      </w:pPr>
      <w:r>
        <w:rPr>
          <w:rFonts w:ascii="Times New Roman" w:hAnsi="Times New Roman"/>
          <w:b w:val="0"/>
          <w:i w:val="0"/>
          <w:color w:val="000000"/>
          <w:sz w:val="20"/>
        </w:rPr>
        <w:t>Figure 9 presents a 2 x 4 diagnostic panel for the four engineered scores, with histograms (top row) and Q-Q plots (bottom row). The Shapiro-Wilk test statistic and p-value are annotated on each histogram. Results: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Study_Engagement:</w:t>
      </w:r>
      <w:r>
        <w:rPr>
          <w:rFonts w:ascii="Times New Roman" w:hAnsi="Times New Roman"/>
          <w:b w:val="0"/>
          <w:i w:val="0"/>
          <w:color w:val="000000"/>
          <w:sz w:val="19"/>
        </w:rPr>
        <w:t xml:space="preserve"> Approximately normal; the Q-Q plot shows minor departures at the tails.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Class_Behaviour:</w:t>
      </w:r>
      <w:r>
        <w:rPr>
          <w:rFonts w:ascii="Times New Roman" w:hAnsi="Times New Roman"/>
          <w:b w:val="0"/>
          <w:i w:val="0"/>
          <w:color w:val="000000"/>
          <w:sz w:val="19"/>
        </w:rPr>
        <w:t xml:space="preserve"> Significantly non-normal (left-skewed, bounded above at 12); the Q-Q plot curves sharply at both extremes.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Family_Education:</w:t>
      </w:r>
      <w:r>
        <w:rPr>
          <w:rFonts w:ascii="Times New Roman" w:hAnsi="Times New Roman"/>
          <w:b w:val="0"/>
          <w:i w:val="0"/>
          <w:color w:val="000000"/>
          <w:sz w:val="19"/>
        </w:rPr>
        <w:t xml:space="preserve"> Marginally non-normal; right tail slightly heavier than Gaussian.</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Aspiration_Gap:</w:t>
      </w:r>
      <w:r>
        <w:rPr>
          <w:rFonts w:ascii="Times New Roman" w:hAnsi="Times New Roman"/>
          <w:b w:val="0"/>
          <w:i w:val="0"/>
          <w:color w:val="000000"/>
          <w:sz w:val="19"/>
        </w:rPr>
        <w:t xml:space="preserve"> Highly non-normal (discrete, peaked at zero with thin tails); the Q-Q plot shows a pronounced staircase pattern.</w:t>
      </w:r>
    </w:p>
    <w:p>
      <w:pPr>
        <w:spacing w:before="0" w:after="36" w:line="254" w:lineRule="auto"/>
        <w:jc w:val="both"/>
      </w:pPr>
      <w:r>
        <w:rPr>
          <w:rFonts w:ascii="Times New Roman" w:hAnsi="Times New Roman"/>
          <w:b w:val="0"/>
          <w:i w:val="0"/>
          <w:color w:val="000000"/>
          <w:sz w:val="20"/>
        </w:rPr>
        <w:t>These results justify the use of non-parametric statistical tests (Spearman, Kruskal-Wallis, Mann-Whitney) throughout the analysis rather than parametric alternatives that assume normality.</w:t>
      </w:r>
    </w:p>
    <w:p>
      <w:pPr>
        <w:keepNext/>
        <w:spacing w:before="50" w:after="20"/>
        <w:jc w:val="center"/>
      </w:pPr>
      <w:r>
        <w:drawing>
          <wp:inline xmlns:a="http://schemas.openxmlformats.org/drawingml/2006/main" xmlns:pic="http://schemas.openxmlformats.org/drawingml/2006/picture">
            <wp:extent cx="3520440" cy="1614193"/>
            <wp:docPr id="10" name="Picture 10"/>
            <wp:cNvGraphicFramePr>
              <a:graphicFrameLocks noChangeAspect="1"/>
            </wp:cNvGraphicFramePr>
            <a:graphic>
              <a:graphicData uri="http://schemas.openxmlformats.org/drawingml/2006/picture">
                <pic:pic>
                  <pic:nvPicPr>
                    <pic:cNvPr id="0" name="fig09_continuous_normality_qq.png"/>
                    <pic:cNvPicPr/>
                  </pic:nvPicPr>
                  <pic:blipFill>
                    <a:blip r:embed="rId19"/>
                    <a:stretch>
                      <a:fillRect/>
                    </a:stretch>
                  </pic:blipFill>
                  <pic:spPr>
                    <a:xfrm>
                      <a:off x="0" y="0"/>
                      <a:ext cx="3520440" cy="1614193"/>
                    </a:xfrm>
                    <a:prstGeom prst="rect"/>
                  </pic:spPr>
                </pic:pic>
              </a:graphicData>
            </a:graphic>
          </wp:inline>
        </w:drawing>
      </w:r>
    </w:p>
    <w:p>
      <w:pPr>
        <w:keepNext/>
        <w:spacing w:before="10" w:after="40"/>
        <w:jc w:val="center"/>
      </w:pPr>
      <w:r>
        <w:rPr>
          <w:rFonts w:ascii="Times New Roman" w:hAnsi="Times New Roman"/>
          <w:i/>
          <w:color w:val="000000"/>
          <w:sz w:val="17"/>
        </w:rPr>
        <w:t>Fig. 9. Continuous normality assessment: Shapiro-Wilk histograms and Q-Q diagnostic plots</w:t>
      </w:r>
    </w:p>
    <w:p>
      <w:pPr>
        <w:pStyle w:val="Heading3"/>
        <w:keepNext/>
        <w:spacing w:before="80" w:after="20"/>
      </w:pPr>
      <w:r>
        <w:rPr>
          <w:rFonts w:ascii="Times New Roman" w:hAnsi="Times New Roman"/>
          <w:b/>
          <w:color w:val="2B547E"/>
          <w:sz w:val="19"/>
        </w:rPr>
        <w:t>5.3.4 Central Limit Theorem Validation (Fig. 10)</w:t>
      </w:r>
    </w:p>
    <w:p>
      <w:pPr>
        <w:spacing w:before="0" w:after="36" w:line="254" w:lineRule="auto"/>
        <w:jc w:val="both"/>
      </w:pPr>
      <w:r>
        <w:rPr>
          <w:rFonts w:ascii="Times New Roman" w:hAnsi="Times New Roman"/>
          <w:b w:val="0"/>
          <w:i w:val="0"/>
          <w:color w:val="000000"/>
          <w:sz w:val="20"/>
        </w:rPr>
        <w:t>Figure 10 demonstrates the Central Limit Theorem (CLT) through 5,000 bootstrap replications of the sample mean of Grade, at three sample sizes: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n = 10:</w:t>
      </w:r>
      <w:r>
        <w:rPr>
          <w:rFonts w:ascii="Times New Roman" w:hAnsi="Times New Roman"/>
          <w:b w:val="0"/>
          <w:i w:val="0"/>
          <w:color w:val="000000"/>
          <w:sz w:val="19"/>
        </w:rPr>
        <w:t xml:space="preserve"> Empirical SE = 0.695, Theoretical SE = 0.695. The bootstrap distribution is roughly symmetric but still shows visible granularity.</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n = 30:</w:t>
      </w:r>
      <w:r>
        <w:rPr>
          <w:rFonts w:ascii="Times New Roman" w:hAnsi="Times New Roman"/>
          <w:b w:val="0"/>
          <w:i w:val="0"/>
          <w:color w:val="000000"/>
          <w:sz w:val="19"/>
        </w:rPr>
        <w:t xml:space="preserve"> Empirical SE = 0.401, Theoretical SE = 0.401. The distribution is approximately Gaussian.</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n = 145:</w:t>
      </w:r>
      <w:r>
        <w:rPr>
          <w:rFonts w:ascii="Times New Roman" w:hAnsi="Times New Roman"/>
          <w:b w:val="0"/>
          <w:i w:val="0"/>
          <w:color w:val="000000"/>
          <w:sz w:val="19"/>
        </w:rPr>
        <w:t xml:space="preserve"> Empirical SE = 0.182, Theoretical SE = 0.182. The distribution is tightly concentrated and essentially Gaussian.</w:t>
      </w:r>
    </w:p>
    <w:p>
      <w:pPr>
        <w:spacing w:before="0" w:after="36" w:line="254" w:lineRule="auto"/>
        <w:jc w:val="both"/>
      </w:pPr>
      <w:r>
        <w:rPr>
          <w:rFonts w:ascii="Times New Roman" w:hAnsi="Times New Roman"/>
          <w:b w:val="0"/>
          <w:i w:val="0"/>
          <w:color w:val="000000"/>
          <w:sz w:val="20"/>
        </w:rPr>
        <w:t>Each panel overlays the Gaussian curve with the matching mean and standard error. The convergence of the empirical and theoretical SEs validates the CLT even for this non-normal, discrete, bimodal target distribution.</w:t>
      </w:r>
    </w:p>
    <w:p>
      <w:pPr>
        <w:keepNext/>
        <w:spacing w:before="50" w:after="20"/>
        <w:jc w:val="center"/>
      </w:pPr>
      <w:r>
        <w:drawing>
          <wp:inline xmlns:a="http://schemas.openxmlformats.org/drawingml/2006/main" xmlns:pic="http://schemas.openxmlformats.org/drawingml/2006/picture">
            <wp:extent cx="3520440" cy="1137920"/>
            <wp:docPr id="11" name="Picture 11"/>
            <wp:cNvGraphicFramePr>
              <a:graphicFrameLocks noChangeAspect="1"/>
            </wp:cNvGraphicFramePr>
            <a:graphic>
              <a:graphicData uri="http://schemas.openxmlformats.org/drawingml/2006/picture">
                <pic:pic>
                  <pic:nvPicPr>
                    <pic:cNvPr id="0" name="fig10_clt_bootstrap.png"/>
                    <pic:cNvPicPr/>
                  </pic:nvPicPr>
                  <pic:blipFill>
                    <a:blip r:embed="rId20"/>
                    <a:stretch>
                      <a:fillRect/>
                    </a:stretch>
                  </pic:blipFill>
                  <pic:spPr>
                    <a:xfrm>
                      <a:off x="0" y="0"/>
                      <a:ext cx="3520440" cy="1137920"/>
                    </a:xfrm>
                    <a:prstGeom prst="rect"/>
                  </pic:spPr>
                </pic:pic>
              </a:graphicData>
            </a:graphic>
          </wp:inline>
        </w:drawing>
      </w:r>
    </w:p>
    <w:p>
      <w:pPr>
        <w:keepNext/>
        <w:spacing w:before="10" w:after="40"/>
        <w:jc w:val="center"/>
      </w:pPr>
      <w:r>
        <w:rPr>
          <w:rFonts w:ascii="Times New Roman" w:hAnsi="Times New Roman"/>
          <w:i/>
          <w:color w:val="000000"/>
          <w:sz w:val="17"/>
        </w:rPr>
        <w:t>Fig. 10. Central Limit Theorem validation: bootstrap sampling distributions for n = 10, 30, 145</w:t>
      </w:r>
    </w:p>
    <w:p>
      <w:pPr>
        <w:pStyle w:val="Heading2"/>
        <w:keepNext/>
        <w:spacing w:before="120" w:after="30"/>
      </w:pPr>
      <w:r>
        <w:rPr>
          <w:rFonts w:ascii="Times New Roman" w:hAnsi="Times New Roman"/>
          <w:b/>
          <w:color w:val="1F4E78"/>
          <w:sz w:val="20"/>
        </w:rPr>
        <w:t>5.4 Stage 4 --- Mine: Statistical Association and Hypothesis Testing</w:t>
      </w:r>
    </w:p>
    <w:p>
      <w:pPr>
        <w:pStyle w:val="Heading3"/>
        <w:keepNext/>
        <w:spacing w:before="80" w:after="20"/>
      </w:pPr>
      <w:r>
        <w:rPr>
          <w:rFonts w:ascii="Times New Roman" w:hAnsi="Times New Roman"/>
          <w:b/>
          <w:color w:val="2B547E"/>
          <w:sz w:val="19"/>
        </w:rPr>
        <w:t>5.4.1 Conditional Probability Heatmaps (Fig. 11)</w:t>
      </w:r>
    </w:p>
    <w:p>
      <w:pPr>
        <w:spacing w:before="0" w:after="36" w:line="254" w:lineRule="auto"/>
        <w:jc w:val="both"/>
      </w:pPr>
      <w:r>
        <w:rPr>
          <w:rFonts w:ascii="Times New Roman" w:hAnsi="Times New Roman"/>
          <w:b w:val="0"/>
          <w:i w:val="0"/>
          <w:color w:val="000000"/>
          <w:sz w:val="20"/>
        </w:rPr>
        <w:t>Figure 11 presents a grid of conditional probability heatmaps showing P(Grade</w:t>
      </w:r>
      <w:r>
        <w:rPr>
          <w:rFonts w:ascii="Times New Roman" w:hAnsi="Times New Roman"/>
          <w:b w:val="0"/>
          <w:i/>
          <w:color w:val="000000"/>
          <w:sz w:val="20"/>
        </w:rPr>
        <w:t>Group | Feature level) for selected categorical features (Attendance, Study</w:t>
      </w:r>
      <w:r>
        <w:rPr>
          <w:rFonts w:ascii="Times New Roman" w:hAnsi="Times New Roman"/>
          <w:b w:val="0"/>
          <w:i w:val="0"/>
          <w:color w:val="000000"/>
          <w:sz w:val="20"/>
        </w:rPr>
        <w:t>Hours, Scholarship, Sex, GPA</w:t>
      </w:r>
      <w:r>
        <w:rPr>
          <w:rFonts w:ascii="Times New Roman" w:hAnsi="Times New Roman"/>
          <w:b w:val="0"/>
          <w:i/>
          <w:color w:val="000000"/>
          <w:sz w:val="20"/>
        </w:rPr>
        <w:t>Last, and Course</w:t>
      </w:r>
      <w:r>
        <w:rPr>
          <w:rFonts w:ascii="Times New Roman" w:hAnsi="Times New Roman"/>
          <w:b w:val="0"/>
          <w:i w:val="0"/>
          <w:color w:val="000000"/>
          <w:sz w:val="20"/>
        </w:rPr>
        <w:t>ID). Each cell is coloured by probability magnitude and annotated with the exact proportion. Chi-square test statistics and p-values are displayed above each subplot.</w:t>
      </w:r>
    </w:p>
    <w:p>
      <w:pPr>
        <w:spacing w:before="0" w:after="36" w:line="254" w:lineRule="auto"/>
        <w:jc w:val="both"/>
      </w:pPr>
      <w:r>
        <w:rPr>
          <w:rFonts w:ascii="Times New Roman" w:hAnsi="Times New Roman"/>
          <w:b w:val="0"/>
          <w:i w:val="0"/>
          <w:color w:val="000000"/>
          <w:sz w:val="20"/>
        </w:rPr>
        <w:t>Key findings: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Attendance:</w:t>
      </w:r>
      <w:r>
        <w:rPr>
          <w:rFonts w:ascii="Times New Roman" w:hAnsi="Times New Roman"/>
          <w:b w:val="0"/>
          <w:i w:val="0"/>
          <w:color w:val="000000"/>
          <w:sz w:val="19"/>
        </w:rPr>
        <w:t xml:space="preserve"> P(Low | Sometimes) = 0.629 vs P(Low | Always) = 0.409. The chi-square test confirms a statistically significant association.</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GPA_Last:</w:t>
      </w:r>
      <w:r>
        <w:rPr>
          <w:rFonts w:ascii="Times New Roman" w:hAnsi="Times New Roman"/>
          <w:b w:val="0"/>
          <w:i w:val="0"/>
          <w:color w:val="000000"/>
          <w:sz w:val="19"/>
        </w:rPr>
        <w:t xml:space="preserve"> Students with Prior GPA &gt; 3.49 have P(High) approximately 0.55, while those with Prior GPA &lt; 2.00 have P(Low) approximately 0.70.</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Course_ID:</w:t>
      </w:r>
      <w:r>
        <w:rPr>
          <w:rFonts w:ascii="Times New Roman" w:hAnsi="Times New Roman"/>
          <w:b w:val="0"/>
          <w:i w:val="0"/>
          <w:color w:val="000000"/>
          <w:sz w:val="19"/>
        </w:rPr>
        <w:t xml:space="preserve"> The most extreme conditional probabilities: P(Low | Course 8) = 1.00 and P(High | Course 7) = 0.867.</w:t>
      </w:r>
    </w:p>
    <w:p>
      <w:pPr>
        <w:keepNext/>
        <w:spacing w:before="50" w:after="20"/>
        <w:jc w:val="center"/>
      </w:pPr>
      <w:r>
        <w:drawing>
          <wp:inline xmlns:a="http://schemas.openxmlformats.org/drawingml/2006/main" xmlns:pic="http://schemas.openxmlformats.org/drawingml/2006/picture">
            <wp:extent cx="3520440" cy="2669107"/>
            <wp:docPr id="12" name="Picture 12"/>
            <wp:cNvGraphicFramePr>
              <a:graphicFrameLocks noChangeAspect="1"/>
            </wp:cNvGraphicFramePr>
            <a:graphic>
              <a:graphicData uri="http://schemas.openxmlformats.org/drawingml/2006/picture">
                <pic:pic>
                  <pic:nvPicPr>
                    <pic:cNvPr id="0" name="fig11_conditional_probabilities.png"/>
                    <pic:cNvPicPr/>
                  </pic:nvPicPr>
                  <pic:blipFill>
                    <a:blip r:embed="rId21"/>
                    <a:stretch>
                      <a:fillRect/>
                    </a:stretch>
                  </pic:blipFill>
                  <pic:spPr>
                    <a:xfrm>
                      <a:off x="0" y="0"/>
                      <a:ext cx="3520440" cy="2669107"/>
                    </a:xfrm>
                    <a:prstGeom prst="rect"/>
                  </pic:spPr>
                </pic:pic>
              </a:graphicData>
            </a:graphic>
          </wp:inline>
        </w:drawing>
      </w:r>
    </w:p>
    <w:p>
      <w:pPr>
        <w:keepNext/>
        <w:spacing w:before="10" w:after="40"/>
        <w:jc w:val="center"/>
      </w:pPr>
      <w:r>
        <w:rPr>
          <w:rFonts w:ascii="Times New Roman" w:hAnsi="Times New Roman"/>
          <w:i/>
          <w:color w:val="000000"/>
          <w:sz w:val="17"/>
        </w:rPr>
        <w:t>Fig. 11. Conditional probability heatmaps P(Grade_Group given Feature) with chi-square tests</w:t>
      </w:r>
    </w:p>
    <w:p>
      <w:pPr>
        <w:pStyle w:val="Heading3"/>
        <w:keepNext/>
        <w:spacing w:before="80" w:after="20"/>
      </w:pPr>
      <w:r>
        <w:rPr>
          <w:rFonts w:ascii="Times New Roman" w:hAnsi="Times New Roman"/>
          <w:b/>
          <w:color w:val="2B547E"/>
          <w:sz w:val="19"/>
        </w:rPr>
        <w:t>5.4.2 Spearman Rank Correlation Matrix (Fig. 12)</w:t>
      </w:r>
    </w:p>
    <w:p>
      <w:pPr>
        <w:spacing w:before="0" w:after="36" w:line="254" w:lineRule="auto"/>
        <w:jc w:val="both"/>
      </w:pPr>
      <w:r>
        <w:rPr>
          <w:rFonts w:ascii="Times New Roman" w:hAnsi="Times New Roman"/>
          <w:b w:val="0"/>
          <w:i w:val="0"/>
          <w:color w:val="000000"/>
          <w:sz w:val="20"/>
        </w:rPr>
        <w:t>Figure 12 presents a masked lower-triangular Spearman rank correlation heatmap for all ordinal and binary features plus the Grade target. The diverging colour map (red = positive, blue = negative) enables rapid identification of correlated feature pairs. The strongest inter-feature correlations include:</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val="0"/>
          <w:i w:val="0"/>
          <w:color w:val="000000"/>
          <w:sz w:val="19"/>
        </w:rPr>
        <w:t>GPA</w:t>
      </w:r>
      <w:r>
        <w:rPr>
          <w:rFonts w:ascii="Times New Roman" w:hAnsi="Times New Roman"/>
          <w:b w:val="0"/>
          <w:i/>
          <w:color w:val="000000"/>
          <w:sz w:val="19"/>
        </w:rPr>
        <w:t>Last and GPA</w:t>
      </w:r>
      <w:r>
        <w:rPr>
          <w:rFonts w:ascii="Times New Roman" w:hAnsi="Times New Roman"/>
          <w:b w:val="0"/>
          <w:i w:val="0"/>
          <w:color w:val="000000"/>
          <w:sz w:val="19"/>
        </w:rPr>
        <w:t>Expected (rho approximately +0.658), reflecting the expected coherence between prior achievement and future expectations.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val="0"/>
          <w:i w:val="0"/>
          <w:color w:val="000000"/>
          <w:sz w:val="19"/>
        </w:rPr>
        <w:t>Mother</w:t>
      </w:r>
      <w:r>
        <w:rPr>
          <w:rFonts w:ascii="Times New Roman" w:hAnsi="Times New Roman"/>
          <w:b w:val="0"/>
          <w:i/>
          <w:color w:val="000000"/>
          <w:sz w:val="19"/>
        </w:rPr>
        <w:t>Edu and Father</w:t>
      </w:r>
      <w:r>
        <w:rPr>
          <w:rFonts w:ascii="Times New Roman" w:hAnsi="Times New Roman"/>
          <w:b w:val="0"/>
          <w:i w:val="0"/>
          <w:color w:val="000000"/>
          <w:sz w:val="19"/>
        </w:rPr>
        <w:t>Edu (rho approximately +0.50), indicating assortative mating by educational level.</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val="0"/>
          <w:i w:val="0"/>
          <w:color w:val="000000"/>
          <w:sz w:val="19"/>
        </w:rPr>
        <w:t>Note_Taking and Listening (rho approximately +0.40), capturing a latent "in-class engagement" factor.</w:t>
      </w:r>
    </w:p>
    <w:p>
      <w:pPr>
        <w:keepNext/>
        <w:spacing w:before="50" w:after="20"/>
        <w:jc w:val="center"/>
      </w:pPr>
      <w:r>
        <w:drawing>
          <wp:inline xmlns:a="http://schemas.openxmlformats.org/drawingml/2006/main" xmlns:pic="http://schemas.openxmlformats.org/drawingml/2006/picture">
            <wp:extent cx="3520440" cy="3080385"/>
            <wp:docPr id="13" name="Picture 13"/>
            <wp:cNvGraphicFramePr>
              <a:graphicFrameLocks noChangeAspect="1"/>
            </wp:cNvGraphicFramePr>
            <a:graphic>
              <a:graphicData uri="http://schemas.openxmlformats.org/drawingml/2006/picture">
                <pic:pic>
                  <pic:nvPicPr>
                    <pic:cNvPr id="0" name="fig12_spearman_heatmap.png"/>
                    <pic:cNvPicPr/>
                  </pic:nvPicPr>
                  <pic:blipFill>
                    <a:blip r:embed="rId22"/>
                    <a:stretch>
                      <a:fillRect/>
                    </a:stretch>
                  </pic:blipFill>
                  <pic:spPr>
                    <a:xfrm>
                      <a:off x="0" y="0"/>
                      <a:ext cx="3520440" cy="3080385"/>
                    </a:xfrm>
                    <a:prstGeom prst="rect"/>
                  </pic:spPr>
                </pic:pic>
              </a:graphicData>
            </a:graphic>
          </wp:inline>
        </w:drawing>
      </w:r>
    </w:p>
    <w:p>
      <w:pPr>
        <w:keepNext/>
        <w:spacing w:before="10" w:after="40"/>
        <w:jc w:val="center"/>
      </w:pPr>
      <w:r>
        <w:rPr>
          <w:rFonts w:ascii="Times New Roman" w:hAnsi="Times New Roman"/>
          <w:i/>
          <w:color w:val="000000"/>
          <w:sz w:val="17"/>
        </w:rPr>
        <w:t>Fig. 12. Masked lower-triangular Spearman rank correlation matrix</w:t>
      </w:r>
    </w:p>
    <w:p>
      <w:pPr>
        <w:pStyle w:val="Heading3"/>
        <w:keepNext/>
        <w:spacing w:before="80" w:after="20"/>
      </w:pPr>
      <w:r>
        <w:rPr>
          <w:rFonts w:ascii="Times New Roman" w:hAnsi="Times New Roman"/>
          <w:b/>
          <w:color w:val="2B547E"/>
          <w:sz w:val="19"/>
        </w:rPr>
        <w:t>5.4.3 Cramer's V Association Matrix (Fig. 13)</w:t>
      </w:r>
    </w:p>
    <w:p>
      <w:pPr>
        <w:spacing w:before="0" w:after="36" w:line="254" w:lineRule="auto"/>
        <w:jc w:val="both"/>
      </w:pPr>
      <w:r>
        <w:rPr>
          <w:rFonts w:ascii="Times New Roman" w:hAnsi="Times New Roman"/>
          <w:b w:val="0"/>
          <w:i w:val="0"/>
          <w:color w:val="000000"/>
          <w:sz w:val="20"/>
        </w:rPr>
        <w:t>Figure 13 presents a Cramer's V association matrix for all nominal categorical features. Cramer's V measures the strength of association between two categorical variables on a [0, 1] scale. The matrix complements the Spearman heatmap by capturing non-linear and non-monotonic associations that rank correlation would miss. Course_ID shows the strongest overall association with Grade, consistent with the confounding effect identified in the conditional probability analysis.</w:t>
      </w:r>
    </w:p>
    <w:p>
      <w:pPr>
        <w:keepNext/>
        <w:spacing w:before="50" w:after="20"/>
        <w:jc w:val="center"/>
      </w:pPr>
      <w:r>
        <w:drawing>
          <wp:inline xmlns:a="http://schemas.openxmlformats.org/drawingml/2006/main" xmlns:pic="http://schemas.openxmlformats.org/drawingml/2006/picture">
            <wp:extent cx="3520440" cy="2880360"/>
            <wp:docPr id="14" name="Picture 14"/>
            <wp:cNvGraphicFramePr>
              <a:graphicFrameLocks noChangeAspect="1"/>
            </wp:cNvGraphicFramePr>
            <a:graphic>
              <a:graphicData uri="http://schemas.openxmlformats.org/drawingml/2006/picture">
                <pic:pic>
                  <pic:nvPicPr>
                    <pic:cNvPr id="0" name="fig13_cramers_v_heatmap.png"/>
                    <pic:cNvPicPr/>
                  </pic:nvPicPr>
                  <pic:blipFill>
                    <a:blip r:embed="rId23"/>
                    <a:stretch>
                      <a:fillRect/>
                    </a:stretch>
                  </pic:blipFill>
                  <pic:spPr>
                    <a:xfrm>
                      <a:off x="0" y="0"/>
                      <a:ext cx="3520440" cy="2880360"/>
                    </a:xfrm>
                    <a:prstGeom prst="rect"/>
                  </pic:spPr>
                </pic:pic>
              </a:graphicData>
            </a:graphic>
          </wp:inline>
        </w:drawing>
      </w:r>
    </w:p>
    <w:p>
      <w:pPr>
        <w:keepNext/>
        <w:spacing w:before="10" w:after="40"/>
        <w:jc w:val="center"/>
      </w:pPr>
      <w:r>
        <w:rPr>
          <w:rFonts w:ascii="Times New Roman" w:hAnsi="Times New Roman"/>
          <w:i/>
          <w:color w:val="000000"/>
          <w:sz w:val="17"/>
        </w:rPr>
        <w:t>Fig. 13. Cramer's V association matrix for nominal categorical variables</w:t>
      </w:r>
    </w:p>
    <w:p>
      <w:pPr>
        <w:pStyle w:val="Heading3"/>
        <w:keepNext/>
        <w:spacing w:before="80" w:after="20"/>
      </w:pPr>
      <w:r>
        <w:rPr>
          <w:rFonts w:ascii="Times New Roman" w:hAnsi="Times New Roman"/>
          <w:b/>
          <w:color w:val="2B547E"/>
          <w:sz w:val="19"/>
        </w:rPr>
        <w:t>5.4.4 Top 10 Predictors (Fig. 14)</w:t>
      </w:r>
    </w:p>
    <w:p>
      <w:pPr>
        <w:spacing w:before="0" w:after="36" w:line="254" w:lineRule="auto"/>
        <w:jc w:val="both"/>
      </w:pPr>
      <w:r>
        <w:rPr>
          <w:rFonts w:ascii="Times New Roman" w:hAnsi="Times New Roman"/>
          <w:b w:val="0"/>
          <w:i w:val="0"/>
          <w:color w:val="000000"/>
          <w:sz w:val="20"/>
        </w:rPr>
        <w:t>Figure 14 is a horizontal bar chart of the top 10 features ranked by absolute Spearman correlation with Grade. Each bar is colour-coded by sign (green = positive, red = negative) and annotated with significance stars (</w:t>
      </w:r>
      <w:r>
        <w:rPr>
          <w:rFonts w:ascii="Times New Roman" w:hAnsi="Times New Roman"/>
          <w:b w:val="0"/>
          <w:i/>
          <w:color w:val="000000"/>
          <w:sz w:val="20"/>
        </w:rPr>
        <w:t xml:space="preserve"> p &lt; 0.05, </w:t>
      </w:r>
      <w:r>
        <w:rPr>
          <w:rFonts w:ascii="Times New Roman" w:hAnsi="Times New Roman"/>
          <w:b w:val="0"/>
          <w:i/>
          <w:color w:val="000000"/>
          <w:sz w:val="20"/>
        </w:rPr>
        <w:t xml:space="preserve"> p &lt; 0.01, </w:t>
      </w:r>
      <w:r>
        <w:rPr>
          <w:rFonts w:ascii="Times New Roman" w:hAnsi="Times New Roman"/>
          <w:b w:val="0"/>
          <w:i w:val="0"/>
          <w:color w:val="000000"/>
          <w:sz w:val="20"/>
        </w:rPr>
        <w:t>** p &lt; 0.001). The Benjamini-Hochberg procedure was applied to control the false discovery rate at 5%.</w:t>
      </w:r>
    </w:p>
    <w:p>
      <w:pPr>
        <w:spacing w:before="0" w:after="36" w:line="254" w:lineRule="auto"/>
        <w:jc w:val="both"/>
      </w:pPr>
      <w:r>
        <w:rPr>
          <w:rFonts w:ascii="Times New Roman" w:hAnsi="Times New Roman"/>
          <w:b/>
          <w:i w:val="0"/>
          <w:color w:val="000000"/>
          <w:sz w:val="20"/>
        </w:rPr>
        <w:t>Table 10. Summary of Statistical Hypothesis Tests: Top 10 Spearman Correlations with Grade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trPr>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center"/>
            </w:pPr>
            <w:r>
              <w:rPr>
                <w:rFonts w:ascii="Times New Roman" w:hAnsi="Times New Roman"/>
                <w:b/>
                <w:i w:val="0"/>
                <w:color w:val="FFFFFF"/>
                <w:sz w:val="15"/>
              </w:rPr>
              <w:t>Rank</w:t>
            </w:r>
          </w:p>
        </w:tc>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Feature</w:t>
            </w:r>
          </w:p>
        </w:tc>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Spearman rho</w:t>
            </w:r>
          </w:p>
        </w:tc>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p-value</w:t>
            </w:r>
          </w:p>
        </w:tc>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Significance</w:t>
            </w:r>
          </w:p>
        </w:tc>
      </w:tr>
      <w:tr>
        <w:trPr>
          <w:cantSplit/>
        </w:trPr>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1</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GPA_Last (Prior GPA)</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+0.351</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&lt; 0.001</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w:t>
            </w:r>
          </w:p>
        </w:tc>
      </w:tr>
      <w:tr>
        <w:trPr>
          <w:cantSplit/>
        </w:trPr>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2</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Sex (Male coded 2)</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+0.331</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&lt; 0.001</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w:t>
            </w:r>
          </w:p>
        </w:tc>
      </w:tr>
      <w:tr>
        <w:trPr>
          <w:cantSplit/>
        </w:trPr>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3</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GPA_Expected</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+0.272</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0.001</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w:t>
            </w:r>
          </w:p>
        </w:tc>
      </w:tr>
      <w:tr>
        <w:trPr>
          <w:cantSplit/>
        </w:trPr>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4</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Seminars</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-0.191</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0.021</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w:t>
            </w:r>
          </w:p>
        </w:tc>
      </w:tr>
      <w:tr>
        <w:trPr>
          <w:cantSplit/>
        </w:trPr>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5</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Project_Impact</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-0.185</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0.026</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w:t>
            </w:r>
          </w:p>
        </w:tc>
      </w:tr>
      <w:tr>
        <w:trPr>
          <w:cantSplit/>
        </w:trPr>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6</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Read_NonSci</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+0.175</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0.035</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w:t>
            </w:r>
          </w:p>
        </w:tc>
      </w:tr>
      <w:tr>
        <w:trPr>
          <w:cantSplit/>
        </w:trPr>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7</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Salary</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-0.173</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0.037</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w:t>
            </w:r>
          </w:p>
        </w:tc>
      </w:tr>
      <w:tr>
        <w:trPr>
          <w:cantSplit/>
        </w:trPr>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8</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Transport</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-0.166</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0.046</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w:t>
            </w:r>
          </w:p>
        </w:tc>
      </w:tr>
      <w:tr>
        <w:trPr>
          <w:cantSplit/>
        </w:trPr>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9</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Additional_Work</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+0.163</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0.050</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w:t>
            </w:r>
          </w:p>
        </w:tc>
      </w:tr>
      <w:tr>
        <w:trPr>
          <w:cantSplit/>
        </w:trPr>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10</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Discussion</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+0.148</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0.075</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n.s.</w:t>
            </w:r>
          </w:p>
        </w:tc>
      </w:tr>
    </w:tbl>
    <w:p>
      <w:pPr>
        <w:spacing w:before="0" w:after="40"/>
      </w:pPr>
    </w:p>
    <w:p>
      <w:pPr>
        <w:spacing w:before="0" w:after="36" w:line="254" w:lineRule="auto"/>
        <w:jc w:val="both"/>
      </w:pPr>
      <w:r>
        <w:rPr>
          <w:rFonts w:ascii="Times New Roman" w:hAnsi="Times New Roman"/>
          <w:b w:val="0"/>
          <w:i w:val="0"/>
          <w:color w:val="000000"/>
          <w:sz w:val="20"/>
        </w:rPr>
        <w:t>The three most significant predictors (GPA</w:t>
      </w:r>
      <w:r>
        <w:rPr>
          <w:rFonts w:ascii="Times New Roman" w:hAnsi="Times New Roman"/>
          <w:b w:val="0"/>
          <w:i/>
          <w:color w:val="000000"/>
          <w:sz w:val="20"/>
        </w:rPr>
        <w:t>Last, Sex, GPA</w:t>
      </w:r>
      <w:r>
        <w:rPr>
          <w:rFonts w:ascii="Times New Roman" w:hAnsi="Times New Roman"/>
          <w:b w:val="0"/>
          <w:i w:val="0"/>
          <w:color w:val="000000"/>
          <w:sz w:val="20"/>
        </w:rPr>
        <w:t>Expected) survive Bonferroni correction at the 0.05 level, while the remaining features are significant only at the uncorrected or BH-corrected threshold.</w:t>
      </w:r>
    </w:p>
    <w:p>
      <w:pPr>
        <w:keepNext/>
        <w:spacing w:before="50" w:after="20"/>
        <w:jc w:val="center"/>
      </w:pPr>
      <w:r>
        <w:drawing>
          <wp:inline xmlns:a="http://schemas.openxmlformats.org/drawingml/2006/main" xmlns:pic="http://schemas.openxmlformats.org/drawingml/2006/picture">
            <wp:extent cx="3520440" cy="1760220"/>
            <wp:docPr id="15" name="Picture 15"/>
            <wp:cNvGraphicFramePr>
              <a:graphicFrameLocks noChangeAspect="1"/>
            </wp:cNvGraphicFramePr>
            <a:graphic>
              <a:graphicData uri="http://schemas.openxmlformats.org/drawingml/2006/picture">
                <pic:pic>
                  <pic:nvPicPr>
                    <pic:cNvPr id="0" name="fig14_top_spearman_features.png"/>
                    <pic:cNvPicPr/>
                  </pic:nvPicPr>
                  <pic:blipFill>
                    <a:blip r:embed="rId24"/>
                    <a:stretch>
                      <a:fillRect/>
                    </a:stretch>
                  </pic:blipFill>
                  <pic:spPr>
                    <a:xfrm>
                      <a:off x="0" y="0"/>
                      <a:ext cx="3520440" cy="1760220"/>
                    </a:xfrm>
                    <a:prstGeom prst="rect"/>
                  </pic:spPr>
                </pic:pic>
              </a:graphicData>
            </a:graphic>
          </wp:inline>
        </w:drawing>
      </w:r>
    </w:p>
    <w:p>
      <w:pPr>
        <w:keepNext/>
        <w:spacing w:before="10" w:after="40"/>
        <w:jc w:val="center"/>
      </w:pPr>
      <w:r>
        <w:rPr>
          <w:rFonts w:ascii="Times New Roman" w:hAnsi="Times New Roman"/>
          <w:i/>
          <w:color w:val="000000"/>
          <w:sz w:val="17"/>
        </w:rPr>
        <w:t>Fig. 14. Top 10 predictors by signed Spearman correlation with Grade and significance stars</w:t>
      </w:r>
    </w:p>
    <w:p>
      <w:pPr>
        <w:pStyle w:val="Heading3"/>
        <w:keepNext/>
        <w:spacing w:before="80" w:after="20"/>
      </w:pPr>
      <w:r>
        <w:rPr>
          <w:rFonts w:ascii="Times New Roman" w:hAnsi="Times New Roman"/>
          <w:b/>
          <w:color w:val="2B547E"/>
          <w:sz w:val="19"/>
        </w:rPr>
        <w:t>5.4.5 Course-Grade Cross-Tabulation (Fig. 15)</w:t>
      </w:r>
    </w:p>
    <w:p>
      <w:pPr>
        <w:spacing w:before="0" w:after="36" w:line="254" w:lineRule="auto"/>
        <w:jc w:val="both"/>
      </w:pPr>
      <w:r>
        <w:rPr>
          <w:rFonts w:ascii="Times New Roman" w:hAnsi="Times New Roman"/>
          <w:b w:val="0"/>
          <w:i w:val="0"/>
          <w:color w:val="000000"/>
          <w:sz w:val="20"/>
        </w:rPr>
        <w:t>Figure 15 is a heatmap of the Course ID x Grade cross-tabulation matrix. Each cell shows the student count, and the colour intensity encodes the frequency. Two extreme courses are immediately visible:</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Course 8 (n = 14):</w:t>
      </w:r>
      <w:r>
        <w:rPr>
          <w:rFonts w:ascii="Times New Roman" w:hAnsi="Times New Roman"/>
          <w:b w:val="0"/>
          <w:i w:val="0"/>
          <w:color w:val="000000"/>
          <w:sz w:val="19"/>
        </w:rPr>
        <w:t xml:space="preserve"> All students scored DC (code 2) or below. The row is entirely concentrated in the leftmost three columns (Fail, DD, DC).</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Course 7 (n = 15):</w:t>
      </w:r>
      <w:r>
        <w:rPr>
          <w:rFonts w:ascii="Times New Roman" w:hAnsi="Times New Roman"/>
          <w:b w:val="0"/>
          <w:i w:val="0"/>
          <w:color w:val="000000"/>
          <w:sz w:val="19"/>
        </w:rPr>
        <w:t xml:space="preserve"> 13 of 15 students (86.7%) scored BA or AA. The row is concentrated in the rightmost two columns.</w:t>
      </w:r>
    </w:p>
    <w:p>
      <w:pPr>
        <w:spacing w:before="0" w:after="36" w:line="254" w:lineRule="auto"/>
        <w:jc w:val="both"/>
      </w:pPr>
      <w:r>
        <w:rPr>
          <w:rFonts w:ascii="Times New Roman" w:hAnsi="Times New Roman"/>
          <w:b w:val="0"/>
          <w:i w:val="0"/>
          <w:color w:val="000000"/>
          <w:sz w:val="20"/>
        </w:rPr>
        <w:t>This stark course-level disparity constitutes a powerful institutional confounder: a student's grade is partially determined by which course they are enrolled in, independent of their individual characteristics. This finding motivates the ablation study in Section 7.</w:t>
      </w:r>
    </w:p>
    <w:p>
      <w:pPr>
        <w:keepNext/>
        <w:spacing w:before="50" w:after="20"/>
        <w:jc w:val="center"/>
      </w:pPr>
      <w:r>
        <w:drawing>
          <wp:inline xmlns:a="http://schemas.openxmlformats.org/drawingml/2006/main" xmlns:pic="http://schemas.openxmlformats.org/drawingml/2006/picture">
            <wp:extent cx="3520440" cy="2026145"/>
            <wp:docPr id="16" name="Picture 16"/>
            <wp:cNvGraphicFramePr>
              <a:graphicFrameLocks noChangeAspect="1"/>
            </wp:cNvGraphicFramePr>
            <a:graphic>
              <a:graphicData uri="http://schemas.openxmlformats.org/drawingml/2006/picture">
                <pic:pic>
                  <pic:nvPicPr>
                    <pic:cNvPr id="0" name="fig15_course_grade_cross.png"/>
                    <pic:cNvPicPr/>
                  </pic:nvPicPr>
                  <pic:blipFill>
                    <a:blip r:embed="rId25"/>
                    <a:stretch>
                      <a:fillRect/>
                    </a:stretch>
                  </pic:blipFill>
                  <pic:spPr>
                    <a:xfrm>
                      <a:off x="0" y="0"/>
                      <a:ext cx="3520440" cy="2026145"/>
                    </a:xfrm>
                    <a:prstGeom prst="rect"/>
                  </pic:spPr>
                </pic:pic>
              </a:graphicData>
            </a:graphic>
          </wp:inline>
        </w:drawing>
      </w:r>
    </w:p>
    <w:p>
      <w:pPr>
        <w:keepNext/>
        <w:spacing w:before="10" w:after="40"/>
        <w:jc w:val="center"/>
      </w:pPr>
      <w:r>
        <w:rPr>
          <w:rFonts w:ascii="Times New Roman" w:hAnsi="Times New Roman"/>
          <w:i/>
          <w:color w:val="000000"/>
          <w:sz w:val="17"/>
        </w:rPr>
        <w:t>Fig. 15. Course ID vs Grade cross-tabulation heatmap with enrollment annotations</w:t>
      </w:r>
    </w:p>
    <w:p>
      <w:pPr>
        <w:pStyle w:val="Heading2"/>
        <w:keepNext/>
        <w:spacing w:before="120" w:after="30"/>
      </w:pPr>
      <w:r>
        <w:rPr>
          <w:rFonts w:ascii="Times New Roman" w:hAnsi="Times New Roman"/>
          <w:b/>
          <w:color w:val="1F4E78"/>
          <w:sz w:val="20"/>
        </w:rPr>
        <w:t>5.5 Stage 5 --- Represent: Bivariate and Multivariate Visualisations</w:t>
      </w:r>
    </w:p>
    <w:p>
      <w:pPr>
        <w:pStyle w:val="Heading3"/>
        <w:keepNext/>
        <w:spacing w:before="80" w:after="20"/>
      </w:pPr>
      <w:r>
        <w:rPr>
          <w:rFonts w:ascii="Times New Roman" w:hAnsi="Times New Roman"/>
          <w:b/>
          <w:color w:val="2B547E"/>
          <w:sz w:val="19"/>
        </w:rPr>
        <w:t>5.5.1 Stacked Proportion Bars (Fig. 16)</w:t>
      </w:r>
    </w:p>
    <w:p>
      <w:pPr>
        <w:spacing w:before="0" w:after="36" w:line="254" w:lineRule="auto"/>
        <w:jc w:val="both"/>
      </w:pPr>
      <w:r>
        <w:rPr>
          <w:rFonts w:ascii="Times New Roman" w:hAnsi="Times New Roman"/>
          <w:b w:val="0"/>
          <w:i w:val="0"/>
          <w:color w:val="000000"/>
          <w:sz w:val="20"/>
        </w:rPr>
        <w:t>Figure 16 presents four 100%-stacked bar charts showing the Grade_Group composition across levels of Attendance, Study Hours, Scholarship, and Sex. Each bar sums to 100%, enabling direct comparison of conditional risk profiles: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Attendance "Sometimes":</w:t>
      </w:r>
      <w:r>
        <w:rPr>
          <w:rFonts w:ascii="Times New Roman" w:hAnsi="Times New Roman"/>
          <w:b w:val="0"/>
          <w:i w:val="0"/>
          <w:color w:val="000000"/>
          <w:sz w:val="19"/>
        </w:rPr>
        <w:t xml:space="preserve"> 62.9% Low, compared to 40.9% Low for "Always".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Study Hours "None":</w:t>
      </w:r>
      <w:r>
        <w:rPr>
          <w:rFonts w:ascii="Times New Roman" w:hAnsi="Times New Roman"/>
          <w:b w:val="0"/>
          <w:i w:val="0"/>
          <w:color w:val="000000"/>
          <w:sz w:val="19"/>
        </w:rPr>
        <w:t xml:space="preserve"> Highest proportion of Low-tier students; the Low proportion decreases with increasing study hours up to 6-10 hours, then plateaus.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Scholarship "Full":</w:t>
      </w:r>
      <w:r>
        <w:rPr>
          <w:rFonts w:ascii="Times New Roman" w:hAnsi="Times New Roman"/>
          <w:b w:val="0"/>
          <w:i w:val="0"/>
          <w:color w:val="000000"/>
          <w:sz w:val="19"/>
        </w:rPr>
        <w:t xml:space="preserve"> Higher proportion of High-tier students compared to "None", though the small sample sizes in higher scholarship tiers limit statistical power.</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Sex:</w:t>
      </w:r>
      <w:r>
        <w:rPr>
          <w:rFonts w:ascii="Times New Roman" w:hAnsi="Times New Roman"/>
          <w:b w:val="0"/>
          <w:i w:val="0"/>
          <w:color w:val="000000"/>
          <w:sz w:val="19"/>
        </w:rPr>
        <w:t xml:space="preserve"> Males show a higher proportion of High-tier outcomes than females (Spearman rho = +0.331, p &lt; 0.001).</w:t>
      </w:r>
    </w:p>
    <w:p>
      <w:pPr>
        <w:keepNext/>
        <w:spacing w:before="50" w:after="20"/>
        <w:jc w:val="center"/>
      </w:pPr>
      <w:r>
        <w:drawing>
          <wp:inline xmlns:a="http://schemas.openxmlformats.org/drawingml/2006/main" xmlns:pic="http://schemas.openxmlformats.org/drawingml/2006/picture">
            <wp:extent cx="3520440" cy="2573347"/>
            <wp:docPr id="17" name="Picture 17"/>
            <wp:cNvGraphicFramePr>
              <a:graphicFrameLocks noChangeAspect="1"/>
            </wp:cNvGraphicFramePr>
            <a:graphic>
              <a:graphicData uri="http://schemas.openxmlformats.org/drawingml/2006/picture">
                <pic:pic>
                  <pic:nvPicPr>
                    <pic:cNvPr id="0" name="fig16_stacked_bars_grade_group.png"/>
                    <pic:cNvPicPr/>
                  </pic:nvPicPr>
                  <pic:blipFill>
                    <a:blip r:embed="rId26"/>
                    <a:stretch>
                      <a:fillRect/>
                    </a:stretch>
                  </pic:blipFill>
                  <pic:spPr>
                    <a:xfrm>
                      <a:off x="0" y="0"/>
                      <a:ext cx="3520440" cy="2573347"/>
                    </a:xfrm>
                    <a:prstGeom prst="rect"/>
                  </pic:spPr>
                </pic:pic>
              </a:graphicData>
            </a:graphic>
          </wp:inline>
        </w:drawing>
      </w:r>
    </w:p>
    <w:p>
      <w:pPr>
        <w:keepNext/>
        <w:spacing w:before="10" w:after="40"/>
        <w:jc w:val="center"/>
      </w:pPr>
      <w:r>
        <w:rPr>
          <w:rFonts w:ascii="Times New Roman" w:hAnsi="Times New Roman"/>
          <w:i/>
          <w:color w:val="000000"/>
          <w:sz w:val="17"/>
        </w:rPr>
        <w:t>Fig. 16. 100% stacked proportion bars of Grade_Group by Attendance, Study Hours, Scholarship, and Sex</w:t>
      </w:r>
    </w:p>
    <w:p>
      <w:pPr>
        <w:pStyle w:val="Heading3"/>
        <w:keepNext/>
        <w:spacing w:before="80" w:after="20"/>
      </w:pPr>
      <w:r>
        <w:rPr>
          <w:rFonts w:ascii="Times New Roman" w:hAnsi="Times New Roman"/>
          <w:b/>
          <w:color w:val="2B547E"/>
          <w:sz w:val="19"/>
        </w:rPr>
        <w:t>5.5.2 Grade by GPA and Study Hours (Fig. 17)</w:t>
      </w:r>
    </w:p>
    <w:p>
      <w:pPr>
        <w:spacing w:before="0" w:after="36" w:line="254" w:lineRule="auto"/>
        <w:jc w:val="both"/>
      </w:pPr>
      <w:r>
        <w:rPr>
          <w:rFonts w:ascii="Times New Roman" w:hAnsi="Times New Roman"/>
          <w:b w:val="0"/>
          <w:i w:val="0"/>
          <w:color w:val="000000"/>
          <w:sz w:val="20"/>
        </w:rPr>
        <w:t>Figure 17 presents two side-by-side box-and-strip plots: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Left panel:</w:t>
      </w:r>
      <w:r>
        <w:rPr>
          <w:rFonts w:ascii="Times New Roman" w:hAnsi="Times New Roman"/>
          <w:b w:val="0"/>
          <w:i w:val="0"/>
          <w:color w:val="000000"/>
          <w:sz w:val="19"/>
        </w:rPr>
        <w:t xml:space="preserve"> Grade distribution across the five Prior GPA tiers. A clear monotonic increase in median grade is visible: students with GPA</w:t>
      </w:r>
      <w:r>
        <w:rPr>
          <w:rFonts w:ascii="Times New Roman" w:hAnsi="Times New Roman"/>
          <w:b w:val="0"/>
          <w:i/>
          <w:color w:val="000000"/>
          <w:sz w:val="19"/>
        </w:rPr>
        <w:t>Last &gt; 3.49 have a median grade of approximately 5 (BB), while those with GPA</w:t>
      </w:r>
      <w:r>
        <w:rPr>
          <w:rFonts w:ascii="Times New Roman" w:hAnsi="Times New Roman"/>
          <w:b w:val="0"/>
          <w:i w:val="0"/>
          <w:color w:val="000000"/>
          <w:sz w:val="19"/>
        </w:rPr>
        <w:t>Last &lt; 2.00 have a median of approximately 1 (DD).</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Right panel:</w:t>
      </w:r>
      <w:r>
        <w:rPr>
          <w:rFonts w:ascii="Times New Roman" w:hAnsi="Times New Roman"/>
          <w:b w:val="0"/>
          <w:i w:val="0"/>
          <w:color w:val="000000"/>
          <w:sz w:val="19"/>
        </w:rPr>
        <w:t xml:space="preserve"> Grade distribution across the five Study Hours tiers. The relationship is weaker and non-linear: median grade increases from "None" to "6-10 hours" but does not increase further for "&gt;20 hours", suggesting diminishing marginal returns to study time.</w:t>
      </w:r>
    </w:p>
    <w:p>
      <w:pPr>
        <w:keepNext/>
        <w:spacing w:before="50" w:after="20"/>
        <w:jc w:val="center"/>
      </w:pPr>
      <w:r>
        <w:drawing>
          <wp:inline xmlns:a="http://schemas.openxmlformats.org/drawingml/2006/main" xmlns:pic="http://schemas.openxmlformats.org/drawingml/2006/picture">
            <wp:extent cx="3520440" cy="1290828"/>
            <wp:docPr id="18" name="Picture 18"/>
            <wp:cNvGraphicFramePr>
              <a:graphicFrameLocks noChangeAspect="1"/>
            </wp:cNvGraphicFramePr>
            <a:graphic>
              <a:graphicData uri="http://schemas.openxmlformats.org/drawingml/2006/picture">
                <pic:pic>
                  <pic:nvPicPr>
                    <pic:cNvPr id="0" name="fig17_grade_by_gpa_and_study.png"/>
                    <pic:cNvPicPr/>
                  </pic:nvPicPr>
                  <pic:blipFill>
                    <a:blip r:embed="rId27"/>
                    <a:stretch>
                      <a:fillRect/>
                    </a:stretch>
                  </pic:blipFill>
                  <pic:spPr>
                    <a:xfrm>
                      <a:off x="0" y="0"/>
                      <a:ext cx="3520440" cy="1290828"/>
                    </a:xfrm>
                    <a:prstGeom prst="rect"/>
                  </pic:spPr>
                </pic:pic>
              </a:graphicData>
            </a:graphic>
          </wp:inline>
        </w:drawing>
      </w:r>
    </w:p>
    <w:p>
      <w:pPr>
        <w:keepNext/>
        <w:spacing w:before="10" w:after="40"/>
        <w:jc w:val="center"/>
      </w:pPr>
      <w:r>
        <w:rPr>
          <w:rFonts w:ascii="Times New Roman" w:hAnsi="Times New Roman"/>
          <w:i/>
          <w:color w:val="000000"/>
          <w:sz w:val="17"/>
        </w:rPr>
        <w:t>Fig. 17. Grade distribution across Prior GPA tiers and Weekly Study Hours (box + strip)</w:t>
      </w:r>
    </w:p>
    <w:p>
      <w:pPr>
        <w:pStyle w:val="Heading3"/>
        <w:keepNext/>
        <w:spacing w:before="80" w:after="20"/>
      </w:pPr>
      <w:r>
        <w:rPr>
          <w:rFonts w:ascii="Times New Roman" w:hAnsi="Times New Roman"/>
          <w:b/>
          <w:color w:val="2B547E"/>
          <w:sz w:val="19"/>
        </w:rPr>
        <w:t>5.5.3 Academic Aspiration Bubble Chart (Fig. 18)</w:t>
      </w:r>
    </w:p>
    <w:p>
      <w:pPr>
        <w:spacing w:before="0" w:after="36" w:line="254" w:lineRule="auto"/>
        <w:jc w:val="both"/>
      </w:pPr>
      <w:r>
        <w:rPr>
          <w:rFonts w:ascii="Times New Roman" w:hAnsi="Times New Roman"/>
          <w:b w:val="0"/>
          <w:i w:val="0"/>
          <w:color w:val="000000"/>
          <w:sz w:val="20"/>
        </w:rPr>
        <w:t>Figure 18 is a bubble chart plotting Prior GPA (x-axis) against Expected GPA (y-axis), where bubble size encodes the number of students at each combination and colour encodes the mean grade. The diagonal line represents "realistic" expectations (Expected = Prior). Most bubbles cluster on or slightly below the diagonal, confirming the negative mean Aspiration_Gap of -0.40. Students above the diagonal (optimistic expectations) tend to have lower mean grades, suggesting that unrealistic self-assessment may be a risk indicator.</w:t>
      </w:r>
    </w:p>
    <w:p>
      <w:pPr>
        <w:keepNext/>
        <w:spacing w:before="50" w:after="20"/>
        <w:jc w:val="center"/>
      </w:pPr>
      <w:r>
        <w:drawing>
          <wp:inline xmlns:a="http://schemas.openxmlformats.org/drawingml/2006/main" xmlns:pic="http://schemas.openxmlformats.org/drawingml/2006/picture">
            <wp:extent cx="3520440" cy="2288286"/>
            <wp:docPr id="19" name="Picture 19"/>
            <wp:cNvGraphicFramePr>
              <a:graphicFrameLocks noChangeAspect="1"/>
            </wp:cNvGraphicFramePr>
            <a:graphic>
              <a:graphicData uri="http://schemas.openxmlformats.org/drawingml/2006/picture">
                <pic:pic>
                  <pic:nvPicPr>
                    <pic:cNvPr id="0" name="fig18_gpa_bubble_chart.png"/>
                    <pic:cNvPicPr/>
                  </pic:nvPicPr>
                  <pic:blipFill>
                    <a:blip r:embed="rId28"/>
                    <a:stretch>
                      <a:fillRect/>
                    </a:stretch>
                  </pic:blipFill>
                  <pic:spPr>
                    <a:xfrm>
                      <a:off x="0" y="0"/>
                      <a:ext cx="3520440" cy="2288286"/>
                    </a:xfrm>
                    <a:prstGeom prst="rect"/>
                  </pic:spPr>
                </pic:pic>
              </a:graphicData>
            </a:graphic>
          </wp:inline>
        </w:drawing>
      </w:r>
    </w:p>
    <w:p>
      <w:pPr>
        <w:keepNext/>
        <w:spacing w:before="10" w:after="40"/>
        <w:jc w:val="center"/>
      </w:pPr>
      <w:r>
        <w:rPr>
          <w:rFonts w:ascii="Times New Roman" w:hAnsi="Times New Roman"/>
          <w:i/>
          <w:color w:val="000000"/>
          <w:sz w:val="17"/>
        </w:rPr>
        <w:t>Fig. 18. Academic aspiration bubble chart: Prior GPA vs Expected GPA (size = count, colour = mean grade)</w:t>
      </w:r>
    </w:p>
    <w:p>
      <w:pPr>
        <w:pStyle w:val="Heading3"/>
        <w:keepNext/>
        <w:spacing w:before="80" w:after="20"/>
      </w:pPr>
      <w:r>
        <w:rPr>
          <w:rFonts w:ascii="Times New Roman" w:hAnsi="Times New Roman"/>
          <w:b/>
          <w:color w:val="2B547E"/>
          <w:sz w:val="19"/>
        </w:rPr>
        <w:t>5.5.4 Regression Scatter Plots (Fig. 19)</w:t>
      </w:r>
    </w:p>
    <w:p>
      <w:pPr>
        <w:spacing w:before="0" w:after="36" w:line="254" w:lineRule="auto"/>
        <w:jc w:val="both"/>
      </w:pPr>
      <w:r>
        <w:rPr>
          <w:rFonts w:ascii="Times New Roman" w:hAnsi="Times New Roman"/>
          <w:b w:val="0"/>
          <w:i w:val="0"/>
          <w:color w:val="000000"/>
          <w:sz w:val="20"/>
        </w:rPr>
        <w:t>Figure 19 presents jittered scatter plots with OLS regression lines for Study</w:t>
      </w:r>
      <w:r>
        <w:rPr>
          <w:rFonts w:ascii="Times New Roman" w:hAnsi="Times New Roman"/>
          <w:b w:val="0"/>
          <w:i/>
          <w:color w:val="000000"/>
          <w:sz w:val="20"/>
        </w:rPr>
        <w:t>Engagement and Class</w:t>
      </w:r>
      <w:r>
        <w:rPr>
          <w:rFonts w:ascii="Times New Roman" w:hAnsi="Times New Roman"/>
          <w:b w:val="0"/>
          <w:i w:val="0"/>
          <w:color w:val="000000"/>
          <w:sz w:val="20"/>
        </w:rPr>
        <w:t>Behaviour against Grade. Both relationships show weak positive slopes, consistent with the modest Spearman correlations. The jittering reveals the discrete nature of both the predictors (integer composites) and the target (integer grades), and the 95% confidence bands around the regression lines are wide, reflecting high residual variance.</w:t>
      </w:r>
    </w:p>
    <w:p>
      <w:pPr>
        <w:keepNext/>
        <w:spacing w:before="50" w:after="20"/>
        <w:jc w:val="center"/>
      </w:pPr>
      <w:r>
        <w:drawing>
          <wp:inline xmlns:a="http://schemas.openxmlformats.org/drawingml/2006/main" xmlns:pic="http://schemas.openxmlformats.org/drawingml/2006/picture">
            <wp:extent cx="3520440" cy="1432087"/>
            <wp:docPr id="20" name="Picture 20"/>
            <wp:cNvGraphicFramePr>
              <a:graphicFrameLocks noChangeAspect="1"/>
            </wp:cNvGraphicFramePr>
            <a:graphic>
              <a:graphicData uri="http://schemas.openxmlformats.org/drawingml/2006/picture">
                <pic:pic>
                  <pic:nvPicPr>
                    <pic:cNvPr id="0" name="fig19_regression_scores_vs_grade.png"/>
                    <pic:cNvPicPr/>
                  </pic:nvPicPr>
                  <pic:blipFill>
                    <a:blip r:embed="rId29"/>
                    <a:stretch>
                      <a:fillRect/>
                    </a:stretch>
                  </pic:blipFill>
                  <pic:spPr>
                    <a:xfrm>
                      <a:off x="0" y="0"/>
                      <a:ext cx="3520440" cy="1432087"/>
                    </a:xfrm>
                    <a:prstGeom prst="rect"/>
                  </pic:spPr>
                </pic:pic>
              </a:graphicData>
            </a:graphic>
          </wp:inline>
        </w:drawing>
      </w:r>
    </w:p>
    <w:p>
      <w:pPr>
        <w:keepNext/>
        <w:spacing w:before="10" w:after="40"/>
        <w:jc w:val="center"/>
      </w:pPr>
      <w:r>
        <w:rPr>
          <w:rFonts w:ascii="Times New Roman" w:hAnsi="Times New Roman"/>
          <w:i/>
          <w:color w:val="000000"/>
          <w:sz w:val="17"/>
        </w:rPr>
        <w:t>Fig. 19. Jittered regressions of Study Engagement and Class Behaviour vs Grade</w:t>
      </w:r>
    </w:p>
    <w:p>
      <w:pPr>
        <w:pStyle w:val="Heading3"/>
        <w:keepNext/>
        <w:spacing w:before="80" w:after="20"/>
      </w:pPr>
      <w:r>
        <w:rPr>
          <w:rFonts w:ascii="Times New Roman" w:hAnsi="Times New Roman"/>
          <w:b/>
          <w:color w:val="2B547E"/>
          <w:sz w:val="19"/>
        </w:rPr>
        <w:t>5.5.5 Multivariate Pairplot (Fig. 20)</w:t>
      </w:r>
    </w:p>
    <w:p>
      <w:pPr>
        <w:spacing w:before="0" w:after="36" w:line="254" w:lineRule="auto"/>
        <w:jc w:val="both"/>
      </w:pPr>
      <w:r>
        <w:rPr>
          <w:rFonts w:ascii="Times New Roman" w:hAnsi="Times New Roman"/>
          <w:b w:val="0"/>
          <w:i w:val="0"/>
          <w:color w:val="000000"/>
          <w:sz w:val="20"/>
        </w:rPr>
        <w:t>Figure 20 is a Seaborn pairplot of the top four continuous features (Study</w:t>
      </w:r>
      <w:r>
        <w:rPr>
          <w:rFonts w:ascii="Times New Roman" w:hAnsi="Times New Roman"/>
          <w:b w:val="0"/>
          <w:i/>
          <w:color w:val="000000"/>
          <w:sz w:val="20"/>
        </w:rPr>
        <w:t>Engagement, Class</w:t>
      </w:r>
      <w:r>
        <w:rPr>
          <w:rFonts w:ascii="Times New Roman" w:hAnsi="Times New Roman"/>
          <w:b w:val="0"/>
          <w:i w:val="0"/>
          <w:color w:val="000000"/>
          <w:sz w:val="20"/>
        </w:rPr>
        <w:t>Behaviour, Family</w:t>
      </w:r>
      <w:r>
        <w:rPr>
          <w:rFonts w:ascii="Times New Roman" w:hAnsi="Times New Roman"/>
          <w:b w:val="0"/>
          <w:i/>
          <w:color w:val="000000"/>
          <w:sz w:val="20"/>
        </w:rPr>
        <w:t>Education, Aspiration</w:t>
      </w:r>
      <w:r>
        <w:rPr>
          <w:rFonts w:ascii="Times New Roman" w:hAnsi="Times New Roman"/>
          <w:b w:val="0"/>
          <w:i w:val="0"/>
          <w:color w:val="000000"/>
          <w:sz w:val="20"/>
        </w:rPr>
        <w:t>Gap) stratified by Grade</w:t>
      </w:r>
      <w:r>
        <w:rPr>
          <w:rFonts w:ascii="Times New Roman" w:hAnsi="Times New Roman"/>
          <w:b w:val="0"/>
          <w:i/>
          <w:color w:val="000000"/>
          <w:sz w:val="20"/>
        </w:rPr>
        <w:t>Group. The diagonal panels show KDE curves, and the off-diagonal panels show scatter plots. The pairplot confirms that no single pair of features achieves clean linear separation of the three Grade</w:t>
      </w:r>
      <w:r>
        <w:rPr>
          <w:rFonts w:ascii="Times New Roman" w:hAnsi="Times New Roman"/>
          <w:b w:val="0"/>
          <w:i w:val="0"/>
          <w:color w:val="000000"/>
          <w:sz w:val="20"/>
        </w:rPr>
        <w:t>Group tiers, motivating the use of non-linear classifiers (MLP) for the prediction task.</w:t>
      </w:r>
    </w:p>
    <w:p>
      <w:pPr>
        <w:keepNext/>
        <w:spacing w:before="50" w:after="20"/>
        <w:jc w:val="center"/>
      </w:pPr>
      <w:r>
        <w:drawing>
          <wp:inline xmlns:a="http://schemas.openxmlformats.org/drawingml/2006/main" xmlns:pic="http://schemas.openxmlformats.org/drawingml/2006/picture">
            <wp:extent cx="3520440" cy="3226719"/>
            <wp:docPr id="21" name="Picture 21"/>
            <wp:cNvGraphicFramePr>
              <a:graphicFrameLocks noChangeAspect="1"/>
            </wp:cNvGraphicFramePr>
            <a:graphic>
              <a:graphicData uri="http://schemas.openxmlformats.org/drawingml/2006/picture">
                <pic:pic>
                  <pic:nvPicPr>
                    <pic:cNvPr id="0" name="fig20_pairplot_multivariate.png"/>
                    <pic:cNvPicPr/>
                  </pic:nvPicPr>
                  <pic:blipFill>
                    <a:blip r:embed="rId30"/>
                    <a:stretch>
                      <a:fillRect/>
                    </a:stretch>
                  </pic:blipFill>
                  <pic:spPr>
                    <a:xfrm>
                      <a:off x="0" y="0"/>
                      <a:ext cx="3520440" cy="3226719"/>
                    </a:xfrm>
                    <a:prstGeom prst="rect"/>
                  </pic:spPr>
                </pic:pic>
              </a:graphicData>
            </a:graphic>
          </wp:inline>
        </w:drawing>
      </w:r>
    </w:p>
    <w:p>
      <w:pPr>
        <w:keepNext/>
        <w:spacing w:before="10" w:after="40"/>
        <w:jc w:val="center"/>
      </w:pPr>
      <w:r>
        <w:rPr>
          <w:rFonts w:ascii="Times New Roman" w:hAnsi="Times New Roman"/>
          <w:i/>
          <w:color w:val="000000"/>
          <w:sz w:val="17"/>
        </w:rPr>
        <w:t>Fig. 20. Multivariate pairplot of top features stratified by Grade_Group</w:t>
      </w:r>
    </w:p>
    <w:p>
      <w:pPr>
        <w:pStyle w:val="Heading3"/>
        <w:keepNext/>
        <w:spacing w:before="80" w:after="20"/>
      </w:pPr>
      <w:r>
        <w:rPr>
          <w:rFonts w:ascii="Times New Roman" w:hAnsi="Times New Roman"/>
          <w:b/>
          <w:color w:val="2B547E"/>
          <w:sz w:val="19"/>
        </w:rPr>
        <w:t>5.5.6 PCA Biplot (Fig. 21)</w:t>
      </w:r>
    </w:p>
    <w:p>
      <w:pPr>
        <w:spacing w:before="0" w:after="36" w:line="254" w:lineRule="auto"/>
        <w:jc w:val="both"/>
      </w:pPr>
      <w:r>
        <w:rPr>
          <w:rFonts w:ascii="Times New Roman" w:hAnsi="Times New Roman"/>
          <w:b w:val="0"/>
          <w:i w:val="0"/>
          <w:color w:val="000000"/>
          <w:sz w:val="20"/>
        </w:rPr>
        <w:t>Figure 21 presents a dual-panel PCA analysis: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Left panel (Scree plot):</w:t>
      </w:r>
      <w:r>
        <w:rPr>
          <w:rFonts w:ascii="Times New Roman" w:hAnsi="Times New Roman"/>
          <w:b w:val="0"/>
          <w:i w:val="0"/>
          <w:color w:val="000000"/>
          <w:sz w:val="19"/>
        </w:rPr>
        <w:t xml:space="preserve"> The eigenvalue spectrum shows a gradual decline with no dominant "elbow", indicating that variance is dispersed across many dimensions. The first two principal components explain a modest fraction of total variance.</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Right panel (Biplot):</w:t>
      </w:r>
      <w:r>
        <w:rPr>
          <w:rFonts w:ascii="Times New Roman" w:hAnsi="Times New Roman"/>
          <w:b w:val="0"/>
          <w:i w:val="0"/>
          <w:color w:val="000000"/>
          <w:sz w:val="19"/>
        </w:rPr>
        <w:t xml:space="preserve"> Data points are projected onto PC1 and PC2, coloured by Grade</w:t>
      </w:r>
      <w:r>
        <w:rPr>
          <w:rFonts w:ascii="Times New Roman" w:hAnsi="Times New Roman"/>
          <w:b w:val="0"/>
          <w:i/>
          <w:color w:val="000000"/>
          <w:sz w:val="19"/>
        </w:rPr>
        <w:t>Group. Feature loading vectors are overlaid as arrows, with GPA</w:t>
      </w:r>
      <w:r>
        <w:rPr>
          <w:rFonts w:ascii="Times New Roman" w:hAnsi="Times New Roman"/>
          <w:b w:val="0"/>
          <w:i w:val="0"/>
          <w:color w:val="000000"/>
          <w:sz w:val="19"/>
        </w:rPr>
        <w:t>Last and GPA</w:t>
      </w:r>
      <w:r>
        <w:rPr>
          <w:rFonts w:ascii="Times New Roman" w:hAnsi="Times New Roman"/>
          <w:b w:val="0"/>
          <w:i/>
          <w:color w:val="000000"/>
          <w:sz w:val="19"/>
        </w:rPr>
        <w:t>Expected pointing in the direction of increasing Grade. The three Grade</w:t>
      </w:r>
      <w:r>
        <w:rPr>
          <w:rFonts w:ascii="Times New Roman" w:hAnsi="Times New Roman"/>
          <w:b w:val="0"/>
          <w:i w:val="0"/>
          <w:color w:val="000000"/>
          <w:sz w:val="19"/>
        </w:rPr>
        <w:t>Group clusters overlap substantially in the 2-D projection, confirming the high-dimensional nature of the classification problem.</w:t>
      </w:r>
    </w:p>
    <w:p>
      <w:pPr>
        <w:keepNext/>
        <w:spacing w:before="50" w:after="20"/>
        <w:jc w:val="center"/>
      </w:pPr>
      <w:r>
        <w:drawing>
          <wp:inline xmlns:a="http://schemas.openxmlformats.org/drawingml/2006/main" xmlns:pic="http://schemas.openxmlformats.org/drawingml/2006/picture">
            <wp:extent cx="3520440" cy="1408176"/>
            <wp:docPr id="22" name="Picture 22"/>
            <wp:cNvGraphicFramePr>
              <a:graphicFrameLocks noChangeAspect="1"/>
            </wp:cNvGraphicFramePr>
            <a:graphic>
              <a:graphicData uri="http://schemas.openxmlformats.org/drawingml/2006/picture">
                <pic:pic>
                  <pic:nvPicPr>
                    <pic:cNvPr id="0" name="fig21_pca_scree_biplot.png"/>
                    <pic:cNvPicPr/>
                  </pic:nvPicPr>
                  <pic:blipFill>
                    <a:blip r:embed="rId31"/>
                    <a:stretch>
                      <a:fillRect/>
                    </a:stretch>
                  </pic:blipFill>
                  <pic:spPr>
                    <a:xfrm>
                      <a:off x="0" y="0"/>
                      <a:ext cx="3520440" cy="1408176"/>
                    </a:xfrm>
                    <a:prstGeom prst="rect"/>
                  </pic:spPr>
                </pic:pic>
              </a:graphicData>
            </a:graphic>
          </wp:inline>
        </w:drawing>
      </w:r>
    </w:p>
    <w:p>
      <w:pPr>
        <w:keepNext/>
        <w:spacing w:before="10" w:after="40"/>
        <w:jc w:val="center"/>
      </w:pPr>
      <w:r>
        <w:rPr>
          <w:rFonts w:ascii="Times New Roman" w:hAnsi="Times New Roman"/>
          <w:i/>
          <w:color w:val="000000"/>
          <w:sz w:val="17"/>
        </w:rPr>
        <w:t>Fig. 21. PCA eigenvalue scree spectrum and 2-D biplot with feature loadings</w:t>
      </w:r>
    </w:p>
    <w:p>
      <w:pPr>
        <w:pStyle w:val="Heading3"/>
        <w:keepNext/>
        <w:spacing w:before="80" w:after="20"/>
      </w:pPr>
      <w:r>
        <w:rPr>
          <w:rFonts w:ascii="Times New Roman" w:hAnsi="Times New Roman"/>
          <w:b/>
          <w:color w:val="2B547E"/>
          <w:sz w:val="19"/>
        </w:rPr>
        <w:t>5.5.7 Radar Chart (Fig. 22)</w:t>
      </w:r>
    </w:p>
    <w:p>
      <w:pPr>
        <w:spacing w:before="0" w:after="36" w:line="254" w:lineRule="auto"/>
        <w:jc w:val="both"/>
      </w:pPr>
      <w:r>
        <w:rPr>
          <w:rFonts w:ascii="Times New Roman" w:hAnsi="Times New Roman"/>
          <w:b w:val="0"/>
          <w:i w:val="0"/>
          <w:color w:val="000000"/>
          <w:sz w:val="20"/>
        </w:rPr>
        <w:t>Figure 22 presents a radar (spider) chart comparing the normalised mean profiles of the Low, Medium, and High attainment groups across selected behavioural dimensions (Study</w:t>
      </w:r>
      <w:r>
        <w:rPr>
          <w:rFonts w:ascii="Times New Roman" w:hAnsi="Times New Roman"/>
          <w:b w:val="0"/>
          <w:i/>
          <w:color w:val="000000"/>
          <w:sz w:val="20"/>
        </w:rPr>
        <w:t>Engagement, Class</w:t>
      </w:r>
      <w:r>
        <w:rPr>
          <w:rFonts w:ascii="Times New Roman" w:hAnsi="Times New Roman"/>
          <w:b w:val="0"/>
          <w:i w:val="0"/>
          <w:color w:val="000000"/>
          <w:sz w:val="20"/>
        </w:rPr>
        <w:t>Behaviour, Family</w:t>
      </w:r>
      <w:r>
        <w:rPr>
          <w:rFonts w:ascii="Times New Roman" w:hAnsi="Times New Roman"/>
          <w:b w:val="0"/>
          <w:i/>
          <w:color w:val="000000"/>
          <w:sz w:val="20"/>
        </w:rPr>
        <w:t>Education, GPA</w:t>
      </w:r>
      <w:r>
        <w:rPr>
          <w:rFonts w:ascii="Times New Roman" w:hAnsi="Times New Roman"/>
          <w:b w:val="0"/>
          <w:i w:val="0"/>
          <w:color w:val="000000"/>
          <w:sz w:val="20"/>
        </w:rPr>
        <w:t>Last, GPA_Expected, Attendance). The High group consistently occupies the outermost ring on GPA-related axes, while the differences are smaller on behavioural axes. This visual summary confirms that prior academic trajectory, rather than current study habits, is the primary differentiator between attainment tiers.</w:t>
      </w:r>
    </w:p>
    <w:p>
      <w:pPr>
        <w:keepNext/>
        <w:spacing w:before="50" w:after="20"/>
        <w:jc w:val="center"/>
      </w:pPr>
      <w:r>
        <w:drawing>
          <wp:inline xmlns:a="http://schemas.openxmlformats.org/drawingml/2006/main" xmlns:pic="http://schemas.openxmlformats.org/drawingml/2006/picture">
            <wp:extent cx="3520440" cy="2836537"/>
            <wp:docPr id="23" name="Picture 23"/>
            <wp:cNvGraphicFramePr>
              <a:graphicFrameLocks noChangeAspect="1"/>
            </wp:cNvGraphicFramePr>
            <a:graphic>
              <a:graphicData uri="http://schemas.openxmlformats.org/drawingml/2006/picture">
                <pic:pic>
                  <pic:nvPicPr>
                    <pic:cNvPr id="0" name="fig22_radar_grade_profiles.png"/>
                    <pic:cNvPicPr/>
                  </pic:nvPicPr>
                  <pic:blipFill>
                    <a:blip r:embed="rId32"/>
                    <a:stretch>
                      <a:fillRect/>
                    </a:stretch>
                  </pic:blipFill>
                  <pic:spPr>
                    <a:xfrm>
                      <a:off x="0" y="0"/>
                      <a:ext cx="3520440" cy="2836537"/>
                    </a:xfrm>
                    <a:prstGeom prst="rect"/>
                  </pic:spPr>
                </pic:pic>
              </a:graphicData>
            </a:graphic>
          </wp:inline>
        </w:drawing>
      </w:r>
    </w:p>
    <w:p>
      <w:pPr>
        <w:keepNext/>
        <w:spacing w:before="10" w:after="40"/>
        <w:jc w:val="center"/>
      </w:pPr>
      <w:r>
        <w:rPr>
          <w:rFonts w:ascii="Times New Roman" w:hAnsi="Times New Roman"/>
          <w:i/>
          <w:color w:val="000000"/>
          <w:sz w:val="17"/>
        </w:rPr>
        <w:t>Fig. 22. Radar chart of normalised behavioural profiles for Low, Medium, and High attainment groups</w:t>
      </w:r>
    </w:p>
    <w:p>
      <w:pPr>
        <w:pStyle w:val="Heading2"/>
        <w:keepNext/>
        <w:spacing w:before="120" w:after="30"/>
      </w:pPr>
      <w:r>
        <w:rPr>
          <w:rFonts w:ascii="Times New Roman" w:hAnsi="Times New Roman"/>
          <w:b/>
          <w:color w:val="1F4E78"/>
          <w:sz w:val="20"/>
        </w:rPr>
        <w:t>5.6 Stages 6 and 7 --- Refine and Interact</w:t>
      </w:r>
    </w:p>
    <w:p>
      <w:pPr>
        <w:pStyle w:val="Heading3"/>
        <w:keepNext/>
        <w:spacing w:before="80" w:after="20"/>
      </w:pPr>
      <w:r>
        <w:rPr>
          <w:rFonts w:ascii="Times New Roman" w:hAnsi="Times New Roman"/>
          <w:b/>
          <w:color w:val="2B547E"/>
          <w:sz w:val="19"/>
        </w:rPr>
        <w:t>5.6.1 Stage 6: Refinement Demonstration (Fig. R)</w:t>
      </w:r>
    </w:p>
    <w:p>
      <w:pPr>
        <w:spacing w:before="0" w:after="36" w:line="254" w:lineRule="auto"/>
        <w:jc w:val="both"/>
      </w:pPr>
      <w:r>
        <w:rPr>
          <w:rFonts w:ascii="Times New Roman" w:hAnsi="Times New Roman"/>
          <w:b w:val="0"/>
          <w:i w:val="0"/>
          <w:color w:val="000000"/>
          <w:sz w:val="20"/>
        </w:rPr>
        <w:t>Figure R presents a side-by-side before-and-after comparison demonstrating the refinement stage. The left panel shows a default matplotlib bar chart with no title, no axis labels, default colours, and auto-scaled axes. The right panel shows the same data after applying publication-standard formatting: descriptive title, axis labels with units, colourblind-safe palette, annotated bar values, grid lines, tight layout, and 300-DPI export settings. This figure illustrates the visual design philosophy applied consistently across all 34 figures in this report.</w:t>
      </w:r>
    </w:p>
    <w:p>
      <w:pPr>
        <w:keepNext/>
        <w:spacing w:before="50" w:after="20"/>
        <w:jc w:val="center"/>
      </w:pPr>
      <w:r>
        <w:drawing>
          <wp:inline xmlns:a="http://schemas.openxmlformats.org/drawingml/2006/main" xmlns:pic="http://schemas.openxmlformats.org/drawingml/2006/picture">
            <wp:extent cx="3520440" cy="1328127"/>
            <wp:docPr id="24" name="Picture 24"/>
            <wp:cNvGraphicFramePr>
              <a:graphicFrameLocks noChangeAspect="1"/>
            </wp:cNvGraphicFramePr>
            <a:graphic>
              <a:graphicData uri="http://schemas.openxmlformats.org/drawingml/2006/picture">
                <pic:pic>
                  <pic:nvPicPr>
                    <pic:cNvPr id="0" name="fig_refine_before_after.png"/>
                    <pic:cNvPicPr/>
                  </pic:nvPicPr>
                  <pic:blipFill>
                    <a:blip r:embed="rId33"/>
                    <a:stretch>
                      <a:fillRect/>
                    </a:stretch>
                  </pic:blipFill>
                  <pic:spPr>
                    <a:xfrm>
                      <a:off x="0" y="0"/>
                      <a:ext cx="3520440" cy="1328127"/>
                    </a:xfrm>
                    <a:prstGeom prst="rect"/>
                  </pic:spPr>
                </pic:pic>
              </a:graphicData>
            </a:graphic>
          </wp:inline>
        </w:drawing>
      </w:r>
    </w:p>
    <w:p>
      <w:pPr>
        <w:keepNext/>
        <w:spacing w:before="10" w:after="40"/>
        <w:jc w:val="center"/>
      </w:pPr>
      <w:r>
        <w:rPr>
          <w:rFonts w:ascii="Times New Roman" w:hAnsi="Times New Roman"/>
          <w:i/>
          <w:color w:val="000000"/>
          <w:sz w:val="17"/>
        </w:rPr>
        <w:t>Fig. R. Stage 6 refinement demonstration: unformatted raw chart vs publication-standard design</w:t>
      </w:r>
    </w:p>
    <w:p>
      <w:pPr>
        <w:pStyle w:val="Heading3"/>
        <w:keepNext/>
        <w:spacing w:before="80" w:after="20"/>
      </w:pPr>
      <w:r>
        <w:rPr>
          <w:rFonts w:ascii="Times New Roman" w:hAnsi="Times New Roman"/>
          <w:b/>
          <w:color w:val="2B547E"/>
          <w:sz w:val="19"/>
        </w:rPr>
        <w:t>5.6.2 Stage 7: Interactive Dashboards</w:t>
      </w:r>
    </w:p>
    <w:p>
      <w:pPr>
        <w:spacing w:before="0" w:after="36" w:line="254" w:lineRule="auto"/>
        <w:jc w:val="both"/>
      </w:pPr>
      <w:r>
        <w:rPr>
          <w:rFonts w:ascii="Times New Roman" w:hAnsi="Times New Roman"/>
          <w:b w:val="0"/>
          <w:i w:val="0"/>
          <w:color w:val="000000"/>
          <w:sz w:val="20"/>
        </w:rPr>
        <w:t>Six standalone Plotly HTML dashboards were created to enable interactive exploration beyond what static figures can provide:</w:t>
      </w:r>
    </w:p>
    <w:p>
      <w:pPr>
        <w:spacing w:before="0" w:after="20" w:line="254" w:lineRule="auto"/>
        <w:ind w:left="259" w:hanging="173"/>
        <w:jc w:val="both"/>
      </w:pPr>
      <w:r>
        <w:rPr>
          <w:rFonts w:ascii="Times New Roman" w:hAnsi="Times New Roman"/>
          <w:b/>
          <w:color w:val="1F4E78"/>
          <w:sz w:val="19"/>
        </w:rPr>
        <w:t xml:space="preserve">1. </w:t>
      </w:r>
      <w:r>
        <w:rPr>
          <w:rFonts w:ascii="Times New Roman" w:hAnsi="Times New Roman"/>
          <w:b/>
          <w:i w:val="0"/>
          <w:color w:val="000000"/>
          <w:sz w:val="19"/>
        </w:rPr>
        <w:t>interactive_grade_sunburst.html:</w:t>
      </w:r>
      <w:r>
        <w:rPr>
          <w:rFonts w:ascii="Times New Roman" w:hAnsi="Times New Roman"/>
          <w:b w:val="0"/>
          <w:i w:val="0"/>
          <w:color w:val="000000"/>
          <w:sz w:val="19"/>
        </w:rPr>
        <w:t xml:space="preserve"> Hierarchical sunburst chart decomposing the student population by Grade_Group and then by individual letter grade, with hover tooltips showing counts and percentages.</w:t>
      </w:r>
    </w:p>
    <w:p>
      <w:pPr>
        <w:spacing w:before="0" w:after="20" w:line="254" w:lineRule="auto"/>
        <w:ind w:left="259" w:hanging="173"/>
        <w:jc w:val="both"/>
      </w:pPr>
      <w:r>
        <w:rPr>
          <w:rFonts w:ascii="Times New Roman" w:hAnsi="Times New Roman"/>
          <w:b/>
          <w:color w:val="1F4E78"/>
          <w:sz w:val="19"/>
        </w:rPr>
        <w:t xml:space="preserve">2. </w:t>
      </w:r>
      <w:r>
        <w:rPr>
          <w:rFonts w:ascii="Times New Roman" w:hAnsi="Times New Roman"/>
          <w:b/>
          <w:i w:val="0"/>
          <w:color w:val="000000"/>
          <w:sz w:val="19"/>
        </w:rPr>
        <w:t>interactive_parallel_coords.html:</w:t>
      </w:r>
      <w:r>
        <w:rPr>
          <w:rFonts w:ascii="Times New Roman" w:hAnsi="Times New Roman"/>
          <w:b w:val="0"/>
          <w:i w:val="0"/>
          <w:color w:val="000000"/>
          <w:sz w:val="19"/>
        </w:rPr>
        <w:t xml:space="preserve"> Parallel coordinates plot linking Study</w:t>
      </w:r>
      <w:r>
        <w:rPr>
          <w:rFonts w:ascii="Times New Roman" w:hAnsi="Times New Roman"/>
          <w:b w:val="0"/>
          <w:i/>
          <w:color w:val="000000"/>
          <w:sz w:val="19"/>
        </w:rPr>
        <w:t>Engagement, Class</w:t>
      </w:r>
      <w:r>
        <w:rPr>
          <w:rFonts w:ascii="Times New Roman" w:hAnsi="Times New Roman"/>
          <w:b w:val="0"/>
          <w:i w:val="0"/>
          <w:color w:val="000000"/>
          <w:sz w:val="19"/>
        </w:rPr>
        <w:t>Behaviour, Family</w:t>
      </w:r>
      <w:r>
        <w:rPr>
          <w:rFonts w:ascii="Times New Roman" w:hAnsi="Times New Roman"/>
          <w:b w:val="0"/>
          <w:i/>
          <w:color w:val="000000"/>
          <w:sz w:val="19"/>
        </w:rPr>
        <w:t>Education, GPA</w:t>
      </w:r>
      <w:r>
        <w:rPr>
          <w:rFonts w:ascii="Times New Roman" w:hAnsi="Times New Roman"/>
          <w:b w:val="0"/>
          <w:i w:val="0"/>
          <w:color w:val="000000"/>
          <w:sz w:val="19"/>
        </w:rPr>
        <w:t>Last, and Grade, coloured by Grade_Group. Users can brush axis ranges to filter and highlight subpopulations.</w:t>
      </w:r>
    </w:p>
    <w:p>
      <w:pPr>
        <w:spacing w:before="0" w:after="20" w:line="254" w:lineRule="auto"/>
        <w:ind w:left="259" w:hanging="173"/>
        <w:jc w:val="both"/>
      </w:pPr>
      <w:r>
        <w:rPr>
          <w:rFonts w:ascii="Times New Roman" w:hAnsi="Times New Roman"/>
          <w:b/>
          <w:color w:val="1F4E78"/>
          <w:sz w:val="19"/>
        </w:rPr>
        <w:t xml:space="preserve">3. </w:t>
      </w:r>
      <w:r>
        <w:rPr>
          <w:rFonts w:ascii="Times New Roman" w:hAnsi="Times New Roman"/>
          <w:b/>
          <w:i w:val="0"/>
          <w:color w:val="000000"/>
          <w:sz w:val="19"/>
        </w:rPr>
        <w:t>interactive_3d_scatter.html:</w:t>
      </w:r>
      <w:r>
        <w:rPr>
          <w:rFonts w:ascii="Times New Roman" w:hAnsi="Times New Roman"/>
          <w:b w:val="0"/>
          <w:i w:val="0"/>
          <w:color w:val="000000"/>
          <w:sz w:val="19"/>
        </w:rPr>
        <w:t xml:space="preserve"> 3-D scatter plot of PCA components (PC1, PC2, PC3) coloured by Grade_Group, with orbital rotation and zoom capabilities.</w:t>
      </w:r>
    </w:p>
    <w:p>
      <w:pPr>
        <w:spacing w:before="0" w:after="20" w:line="254" w:lineRule="auto"/>
        <w:ind w:left="259" w:hanging="173"/>
        <w:jc w:val="both"/>
      </w:pPr>
      <w:r>
        <w:rPr>
          <w:rFonts w:ascii="Times New Roman" w:hAnsi="Times New Roman"/>
          <w:b/>
          <w:color w:val="1F4E78"/>
          <w:sz w:val="19"/>
        </w:rPr>
        <w:t xml:space="preserve">4. </w:t>
      </w:r>
      <w:r>
        <w:rPr>
          <w:rFonts w:ascii="Times New Roman" w:hAnsi="Times New Roman"/>
          <w:b/>
          <w:i w:val="0"/>
          <w:color w:val="000000"/>
          <w:sz w:val="19"/>
        </w:rPr>
        <w:t>interactive_feature_importance.html:</w:t>
      </w:r>
      <w:r>
        <w:rPr>
          <w:rFonts w:ascii="Times New Roman" w:hAnsi="Times New Roman"/>
          <w:b w:val="0"/>
          <w:i w:val="0"/>
          <w:color w:val="000000"/>
          <w:sz w:val="19"/>
        </w:rPr>
        <w:t xml:space="preserve"> Interactive bar chart of feature importances with hover details and sortable axes.</w:t>
      </w:r>
    </w:p>
    <w:p>
      <w:pPr>
        <w:spacing w:before="0" w:after="20" w:line="254" w:lineRule="auto"/>
        <w:ind w:left="259" w:hanging="173"/>
        <w:jc w:val="both"/>
      </w:pPr>
      <w:r>
        <w:rPr>
          <w:rFonts w:ascii="Times New Roman" w:hAnsi="Times New Roman"/>
          <w:b/>
          <w:color w:val="1F4E78"/>
          <w:sz w:val="19"/>
        </w:rPr>
        <w:t xml:space="preserve">5. </w:t>
      </w:r>
      <w:r>
        <w:rPr>
          <w:rFonts w:ascii="Times New Roman" w:hAnsi="Times New Roman"/>
          <w:b/>
          <w:i w:val="0"/>
          <w:color w:val="000000"/>
          <w:sz w:val="19"/>
        </w:rPr>
        <w:t>interactive_correlation_heatmap.html:</w:t>
      </w:r>
      <w:r>
        <w:rPr>
          <w:rFonts w:ascii="Times New Roman" w:hAnsi="Times New Roman"/>
          <w:b w:val="0"/>
          <w:i w:val="0"/>
          <w:color w:val="000000"/>
          <w:sz w:val="19"/>
        </w:rPr>
        <w:t xml:space="preserve"> Zoomable, hoverable Spearman correlation matrix with exact rho values displayed on mouse-over.</w:t>
      </w:r>
    </w:p>
    <w:p>
      <w:pPr>
        <w:spacing w:before="0" w:after="20" w:line="254" w:lineRule="auto"/>
        <w:ind w:left="259" w:hanging="173"/>
        <w:jc w:val="both"/>
      </w:pPr>
      <w:r>
        <w:rPr>
          <w:rFonts w:ascii="Times New Roman" w:hAnsi="Times New Roman"/>
          <w:b/>
          <w:color w:val="1F4E78"/>
          <w:sz w:val="19"/>
        </w:rPr>
        <w:t xml:space="preserve">6. </w:t>
      </w:r>
      <w:r>
        <w:rPr>
          <w:rFonts w:ascii="Times New Roman" w:hAnsi="Times New Roman"/>
          <w:b/>
          <w:i w:val="0"/>
          <w:color w:val="000000"/>
          <w:sz w:val="19"/>
        </w:rPr>
        <w:t>interactive_grade_treemap.html:</w:t>
      </w:r>
      <w:r>
        <w:rPr>
          <w:rFonts w:ascii="Times New Roman" w:hAnsi="Times New Roman"/>
          <w:b w:val="0"/>
          <w:i w:val="0"/>
          <w:color w:val="000000"/>
          <w:sz w:val="19"/>
        </w:rPr>
        <w:t xml:space="preserve"> Treemap visualisation of grade distribution nested by Course_ID and Grade, enabling drill-down into course-level patterns.</w:t>
      </w:r>
    </w:p>
    <w:p>
      <w:pPr>
        <w:spacing w:before="0" w:after="36" w:line="254" w:lineRule="auto"/>
        <w:jc w:val="both"/>
      </w:pPr>
      <w:r>
        <w:rPr>
          <w:rFonts w:ascii="Times New Roman" w:hAnsi="Times New Roman"/>
          <w:b w:val="0"/>
          <w:i w:val="0"/>
          <w:color w:val="000000"/>
          <w:sz w:val="20"/>
        </w:rPr>
        <w:t>All HTML files are self-contained (no external dependencies) and can be opened in any modern web browser.</w:t>
      </w:r>
    </w:p>
    <w:p>
      <w:pPr>
        <w:pStyle w:val="Heading2"/>
        <w:keepNext/>
        <w:spacing w:before="120" w:after="30"/>
      </w:pPr>
      <w:r>
        <w:rPr>
          <w:rFonts w:ascii="Times New Roman" w:hAnsi="Times New Roman"/>
          <w:b/>
          <w:color w:val="1F4E78"/>
          <w:sz w:val="20"/>
        </w:rPr>
        <w:t>5.7 Summary of Key Visualisation Findings</w:t>
      </w:r>
    </w:p>
    <w:p>
      <w:pPr>
        <w:spacing w:before="0" w:after="36" w:line="254" w:lineRule="auto"/>
        <w:jc w:val="both"/>
      </w:pPr>
      <w:r>
        <w:rPr>
          <w:rFonts w:ascii="Times New Roman" w:hAnsi="Times New Roman"/>
          <w:b/>
          <w:i w:val="0"/>
          <w:color w:val="000000"/>
          <w:sz w:val="20"/>
        </w:rPr>
        <w:t>Table 11. Summary of Key EDA and Visualisation Findings</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2592"/>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Finding</w:t>
            </w:r>
          </w:p>
        </w:tc>
        <w:tc>
          <w:tcPr>
            <w:tcW w:type="dxa" w:w="3744"/>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Supporting Figure(s)</w:t>
            </w:r>
          </w:p>
        </w:tc>
        <w:tc>
          <w:tcPr>
            <w:tcW w:type="dxa" w:w="3888"/>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Statistical Evidence</w:t>
            </w:r>
          </w:p>
        </w:tc>
      </w:tr>
      <w:tr>
        <w:trPr>
          <w:cantSplit/>
        </w:trPr>
        <w:tc>
          <w:tcPr>
            <w:tcW w:type="dxa" w:w="259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Bimodal grade distribution with peak at DD (n=35)</w:t>
            </w:r>
          </w:p>
        </w:tc>
        <w:tc>
          <w:tcPr>
            <w:tcW w:type="dxa" w:w="374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Fig. 1</w:t>
            </w:r>
          </w:p>
        </w:tc>
        <w:tc>
          <w:tcPr>
            <w:tcW w:type="dxa" w:w="388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Mode = 1 (DD), secondary peak at 5-7</w:t>
            </w:r>
          </w:p>
        </w:tc>
      </w:tr>
      <w:tr>
        <w:trPr>
          <w:cantSplit/>
        </w:trPr>
        <w:tc>
          <w:tcPr>
            <w:tcW w:type="dxa" w:w="259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Prior GPA is the strongest monotonic predictor</w:t>
            </w:r>
          </w:p>
        </w:tc>
        <w:tc>
          <w:tcPr>
            <w:tcW w:type="dxa" w:w="374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Fig. 14, 17</w:t>
            </w:r>
          </w:p>
        </w:tc>
        <w:tc>
          <w:tcPr>
            <w:tcW w:type="dxa" w:w="3888"/>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Spearman rho = +0.351, p &lt; 0.001</w:t>
            </w:r>
          </w:p>
        </w:tc>
      </w:tr>
      <w:tr>
        <w:trPr>
          <w:cantSplit/>
        </w:trPr>
        <w:tc>
          <w:tcPr>
            <w:tcW w:type="dxa" w:w="259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Course ID is a powerful institutional confounder</w:t>
            </w:r>
          </w:p>
        </w:tc>
        <w:tc>
          <w:tcPr>
            <w:tcW w:type="dxa" w:w="374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Fig. 15</w:t>
            </w:r>
          </w:p>
        </w:tc>
        <w:tc>
          <w:tcPr>
            <w:tcW w:type="dxa" w:w="388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Course 8: 100% Low; Course 7: 86.7% High</w:t>
            </w:r>
          </w:p>
        </w:tc>
      </w:tr>
      <w:tr>
        <w:trPr>
          <w:cantSplit/>
        </w:trPr>
        <w:tc>
          <w:tcPr>
            <w:tcW w:type="dxa" w:w="259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Study hours show diminishing marginal returns</w:t>
            </w:r>
          </w:p>
        </w:tc>
        <w:tc>
          <w:tcPr>
            <w:tcW w:type="dxa" w:w="374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Fig. 16, 17</w:t>
            </w:r>
          </w:p>
        </w:tc>
        <w:tc>
          <w:tcPr>
            <w:tcW w:type="dxa" w:w="3888"/>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Plateau beyond 6-10 hours/week</w:t>
            </w:r>
          </w:p>
        </w:tc>
      </w:tr>
      <w:tr>
        <w:trPr>
          <w:cantSplit/>
        </w:trPr>
        <w:tc>
          <w:tcPr>
            <w:tcW w:type="dxa" w:w="259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Grade distribution is overdispersed</w:t>
            </w:r>
          </w:p>
        </w:tc>
        <w:tc>
          <w:tcPr>
            <w:tcW w:type="dxa" w:w="374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Fig. 7</w:t>
            </w:r>
          </w:p>
        </w:tc>
        <w:tc>
          <w:tcPr>
            <w:tcW w:type="dxa" w:w="388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Dispersion index = 1.496</w:t>
            </w:r>
          </w:p>
        </w:tc>
      </w:tr>
      <w:tr>
        <w:trPr>
          <w:cantSplit/>
        </w:trPr>
        <w:tc>
          <w:tcPr>
            <w:tcW w:type="dxa" w:w="259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CLT convergence validated at n &gt;= 30</w:t>
            </w:r>
          </w:p>
        </w:tc>
        <w:tc>
          <w:tcPr>
            <w:tcW w:type="dxa" w:w="374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Fig. 10</w:t>
            </w:r>
          </w:p>
        </w:tc>
        <w:tc>
          <w:tcPr>
            <w:tcW w:type="dxa" w:w="3888"/>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Empirical SE matches theoretical SE</w:t>
            </w:r>
          </w:p>
        </w:tc>
      </w:tr>
      <w:tr>
        <w:trPr>
          <w:cantSplit/>
        </w:trPr>
        <w:tc>
          <w:tcPr>
            <w:tcW w:type="dxa" w:w="259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No single feature pair achieves class separation</w:t>
            </w:r>
          </w:p>
        </w:tc>
        <w:tc>
          <w:tcPr>
            <w:tcW w:type="dxa" w:w="374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Fig. 20, 21</w:t>
            </w:r>
          </w:p>
        </w:tc>
        <w:tc>
          <w:tcPr>
            <w:tcW w:type="dxa" w:w="388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PCA biplot: overlapping clusters</w:t>
            </w:r>
          </w:p>
        </w:tc>
      </w:tr>
      <w:tr>
        <w:trPr>
          <w:cantSplit/>
        </w:trPr>
        <w:tc>
          <w:tcPr>
            <w:tcW w:type="dxa" w:w="259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GPA</w:t>
            </w:r>
            <w:r>
              <w:rPr>
                <w:rFonts w:ascii="Times New Roman" w:hAnsi="Times New Roman"/>
                <w:b w:val="0"/>
                <w:i/>
                <w:color w:val="000000"/>
                <w:sz w:val="14"/>
              </w:rPr>
              <w:t>Last and GPA</w:t>
            </w:r>
            <w:r>
              <w:rPr>
                <w:rFonts w:ascii="Times New Roman" w:hAnsi="Times New Roman"/>
                <w:b w:val="0"/>
                <w:i w:val="0"/>
                <w:color w:val="000000"/>
                <w:sz w:val="14"/>
              </w:rPr>
              <w:t>Expected are multicollinear</w:t>
            </w:r>
          </w:p>
        </w:tc>
        <w:tc>
          <w:tcPr>
            <w:tcW w:type="dxa" w:w="374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Fig. 12</w:t>
            </w:r>
          </w:p>
        </w:tc>
        <w:tc>
          <w:tcPr>
            <w:tcW w:type="dxa" w:w="3888"/>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Pearson r approximately 0.658</w:t>
            </w:r>
          </w:p>
        </w:tc>
      </w:tr>
    </w:tbl>
    <w:p>
      <w:pPr>
        <w:spacing w:before="0" w:after="40"/>
      </w:pPr>
    </w:p>
    <w:p>
      <w:pPr>
        <w:pStyle w:val="Heading1"/>
        <w:keepNext/>
        <w:spacing w:before="180" w:after="40"/>
      </w:pPr>
      <w:r>
        <w:rPr>
          <w:rFonts w:ascii="Times New Roman" w:hAnsi="Times New Roman"/>
          <w:b/>
          <w:color w:val="1F4E78"/>
          <w:sz w:val="22"/>
        </w:rPr>
        <w:t>5. DEEP LEARNING MODEL &amp; BASELINE ARCHITECTURES</w:t>
      </w:r>
    </w:p>
    <w:p>
      <w:pPr>
        <w:pStyle w:val="Heading2"/>
        <w:keepNext/>
        <w:spacing w:before="120" w:after="30"/>
      </w:pPr>
      <w:r>
        <w:rPr>
          <w:rFonts w:ascii="Times New Roman" w:hAnsi="Times New Roman"/>
          <w:b/>
          <w:color w:val="1F4E78"/>
          <w:sz w:val="20"/>
        </w:rPr>
        <w:t>6.1 Problem Formulation</w:t>
      </w:r>
    </w:p>
    <w:p>
      <w:pPr>
        <w:spacing w:before="0" w:after="36" w:line="254" w:lineRule="auto"/>
        <w:jc w:val="both"/>
      </w:pPr>
      <w:r>
        <w:rPr>
          <w:rFonts w:ascii="Times New Roman" w:hAnsi="Times New Roman"/>
          <w:b w:val="0"/>
          <w:i w:val="0"/>
          <w:color w:val="000000"/>
          <w:sz w:val="20"/>
        </w:rPr>
        <w:t>The classification task was formulated at two levels of granularity:</w:t>
      </w:r>
    </w:p>
    <w:p>
      <w:pPr>
        <w:spacing w:before="0" w:after="20" w:line="254" w:lineRule="auto"/>
        <w:ind w:left="259" w:hanging="173"/>
        <w:jc w:val="both"/>
      </w:pPr>
      <w:r>
        <w:rPr>
          <w:rFonts w:ascii="Times New Roman" w:hAnsi="Times New Roman"/>
          <w:b/>
          <w:color w:val="1F4E78"/>
          <w:sz w:val="19"/>
        </w:rPr>
        <w:t xml:space="preserve">1. </w:t>
      </w:r>
      <w:r>
        <w:rPr>
          <w:rFonts w:ascii="Times New Roman" w:hAnsi="Times New Roman"/>
          <w:b/>
          <w:i w:val="0"/>
          <w:color w:val="000000"/>
          <w:sz w:val="19"/>
        </w:rPr>
        <w:t>3-Class Risk-Tier Classification (Primary):</w:t>
      </w:r>
      <w:r>
        <w:rPr>
          <w:rFonts w:ascii="Times New Roman" w:hAnsi="Times New Roman"/>
          <w:b w:val="0"/>
          <w:i w:val="0"/>
          <w:color w:val="000000"/>
          <w:sz w:val="19"/>
        </w:rPr>
        <w:t xml:space="preserve"> Predict Grade_Group in {Low, Medium, High} from the 57-dimensional one-hot-encoded feature vector. This formulation directly supports the early-warning application by identifying the attainment tier most relevant for intervention decisions.</w:t>
      </w:r>
    </w:p>
    <w:p>
      <w:pPr>
        <w:spacing w:before="0" w:after="20" w:line="254" w:lineRule="auto"/>
        <w:ind w:left="259" w:hanging="173"/>
        <w:jc w:val="both"/>
      </w:pPr>
      <w:r>
        <w:rPr>
          <w:rFonts w:ascii="Times New Roman" w:hAnsi="Times New Roman"/>
          <w:b/>
          <w:color w:val="1F4E78"/>
          <w:sz w:val="19"/>
        </w:rPr>
        <w:t xml:space="preserve">2. </w:t>
      </w:r>
      <w:r>
        <w:rPr>
          <w:rFonts w:ascii="Times New Roman" w:hAnsi="Times New Roman"/>
          <w:b/>
          <w:i w:val="0"/>
          <w:color w:val="000000"/>
          <w:sz w:val="19"/>
        </w:rPr>
        <w:t>8-Class Letter-Grade Classification (Secondary):</w:t>
      </w:r>
      <w:r>
        <w:rPr>
          <w:rFonts w:ascii="Times New Roman" w:hAnsi="Times New Roman"/>
          <w:b w:val="0"/>
          <w:i w:val="0"/>
          <w:color w:val="000000"/>
          <w:sz w:val="19"/>
        </w:rPr>
        <w:t xml:space="preserve"> Predict the exact letter grade (0: Fail through 7: AA). This finer-grained task serves as a diagnostic benchmark to assess the model's ordinal discrimination capacity.</w:t>
      </w:r>
    </w:p>
    <w:p>
      <w:pPr>
        <w:pStyle w:val="Heading2"/>
        <w:keepNext/>
        <w:spacing w:before="120" w:after="30"/>
      </w:pPr>
      <w:r>
        <w:rPr>
          <w:rFonts w:ascii="Times New Roman" w:hAnsi="Times New Roman"/>
          <w:b/>
          <w:color w:val="1F4E78"/>
          <w:sz w:val="20"/>
        </w:rPr>
        <w:t>6.2 Model Architecture</w:t>
      </w:r>
    </w:p>
    <w:p>
      <w:pPr>
        <w:spacing w:before="0" w:after="36" w:line="254" w:lineRule="auto"/>
        <w:jc w:val="both"/>
      </w:pPr>
      <w:r>
        <w:rPr>
          <w:rFonts w:ascii="Times New Roman" w:hAnsi="Times New Roman"/>
          <w:b w:val="0"/>
          <w:i w:val="0"/>
          <w:color w:val="000000"/>
          <w:sz w:val="20"/>
        </w:rPr>
        <w:t>The deep learning classifier is a multilayer perceptron (MLP) implemented in TensorFlow/Keras [8]. Table 12 details the architecture.</w:t>
      </w:r>
    </w:p>
    <w:p>
      <w:pPr>
        <w:spacing w:before="0" w:after="36" w:line="254" w:lineRule="auto"/>
        <w:jc w:val="both"/>
      </w:pPr>
      <w:r>
        <w:rPr>
          <w:rFonts w:ascii="Times New Roman" w:hAnsi="Times New Roman"/>
          <w:b/>
          <w:i w:val="0"/>
          <w:color w:val="000000"/>
          <w:sz w:val="20"/>
        </w:rPr>
        <w:t>Table 12. Deep Learning MLP Architecture: Layers and Parameter Counts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trPr>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Layer</w:t>
            </w:r>
          </w:p>
        </w:tc>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Output Shape</w:t>
            </w:r>
          </w:p>
        </w:tc>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Activation</w:t>
            </w:r>
          </w:p>
        </w:tc>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Regularisation</w:t>
            </w:r>
          </w:p>
        </w:tc>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Parameters</w:t>
            </w:r>
          </w:p>
        </w:tc>
      </w:tr>
      <w:tr>
        <w:trPr>
          <w:cantSplit/>
        </w:trPr>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Input</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(57,)</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w:t>
            </w:r>
          </w:p>
        </w:tc>
      </w:tr>
      <w:tr>
        <w:trPr>
          <w:cantSplit/>
        </w:trPr>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Dense 1</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(64,)</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ReLU</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L2 (lambda = 0.01)</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3,712</w:t>
            </w:r>
          </w:p>
        </w:tc>
      </w:tr>
      <w:tr>
        <w:trPr>
          <w:cantSplit/>
        </w:trPr>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Batch Normalisation 1</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(64,)</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256</w:t>
            </w:r>
          </w:p>
        </w:tc>
      </w:tr>
      <w:tr>
        <w:trPr>
          <w:cantSplit/>
        </w:trPr>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Dropout 1</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(64,)</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Rate = 0.3</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w:t>
            </w:r>
          </w:p>
        </w:tc>
      </w:tr>
      <w:tr>
        <w:trPr>
          <w:cantSplit/>
        </w:trPr>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Dense 2</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(32,)</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ReLU</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2,080</w:t>
            </w:r>
          </w:p>
        </w:tc>
      </w:tr>
      <w:tr>
        <w:trPr>
          <w:cantSplit/>
        </w:trPr>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Dropout 2</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(32,)</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Rate = 0.3</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w:t>
            </w:r>
          </w:p>
        </w:tc>
      </w:tr>
      <w:tr>
        <w:trPr>
          <w:cantSplit/>
        </w:trPr>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Output (3-class)</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(3,)</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Softmax</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99</w:t>
            </w:r>
          </w:p>
        </w:tc>
      </w:tr>
      <w:tr>
        <w:trPr>
          <w:cantSplit/>
        </w:trPr>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i w:val="0"/>
                <w:color w:val="000000"/>
                <w:sz w:val="14"/>
              </w:rPr>
              <w:t>Total</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i w:val="0"/>
                <w:color w:val="000000"/>
                <w:sz w:val="14"/>
              </w:rPr>
              <w:t>6,147</w:t>
            </w:r>
          </w:p>
        </w:tc>
      </w:tr>
    </w:tbl>
    <w:p>
      <w:pPr>
        <w:spacing w:before="0" w:after="40"/>
      </w:pPr>
    </w:p>
    <w:p>
      <w:pPr>
        <w:spacing w:before="0" w:after="36" w:line="254" w:lineRule="auto"/>
        <w:jc w:val="both"/>
      </w:pPr>
      <w:r>
        <w:rPr>
          <w:rFonts w:ascii="Times New Roman" w:hAnsi="Times New Roman"/>
          <w:b w:val="0"/>
          <w:i w:val="0"/>
          <w:color w:val="000000"/>
          <w:sz w:val="20"/>
        </w:rPr>
        <w:t>The architecture follows established best practices for small tabular datasets [7]:</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Two hidden layers</w:t>
      </w:r>
      <w:r>
        <w:rPr>
          <w:rFonts w:ascii="Times New Roman" w:hAnsi="Times New Roman"/>
          <w:b w:val="0"/>
          <w:i w:val="0"/>
          <w:color w:val="000000"/>
          <w:sz w:val="19"/>
        </w:rPr>
        <w:t xml:space="preserve"> (64 and 32 units) provide sufficient capacity without overfitting a 101-sample training set.</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Batch normalisation</w:t>
      </w:r>
      <w:r>
        <w:rPr>
          <w:rFonts w:ascii="Times New Roman" w:hAnsi="Times New Roman"/>
          <w:b w:val="0"/>
          <w:i w:val="0"/>
          <w:color w:val="000000"/>
          <w:sz w:val="19"/>
        </w:rPr>
        <w:t xml:space="preserve"> after the first dense layer stabilises gradient flow and accelerates convergence.</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Dropout</w:t>
      </w:r>
      <w:r>
        <w:rPr>
          <w:rFonts w:ascii="Times New Roman" w:hAnsi="Times New Roman"/>
          <w:b w:val="0"/>
          <w:i w:val="0"/>
          <w:color w:val="000000"/>
          <w:sz w:val="19"/>
        </w:rPr>
        <w:t xml:space="preserve"> (rate = 0.3) at two points provides stochastic regularisation.</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L2 weight decay</w:t>
      </w:r>
      <w:r>
        <w:rPr>
          <w:rFonts w:ascii="Times New Roman" w:hAnsi="Times New Roman"/>
          <w:b w:val="0"/>
          <w:i w:val="0"/>
          <w:color w:val="000000"/>
          <w:sz w:val="19"/>
        </w:rPr>
        <w:t xml:space="preserve"> (lambda = 0.01) on the first dense layer further constrains the weight magnitudes.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Softmax output</w:t>
      </w:r>
      <w:r>
        <w:rPr>
          <w:rFonts w:ascii="Times New Roman" w:hAnsi="Times New Roman"/>
          <w:b w:val="0"/>
          <w:i w:val="0"/>
          <w:color w:val="000000"/>
          <w:sz w:val="19"/>
        </w:rPr>
        <w:t xml:space="preserve"> produces calibrated class probability estimates suitable for risk scoring.</w:t>
      </w:r>
    </w:p>
    <w:p>
      <w:pPr>
        <w:pStyle w:val="Heading2"/>
        <w:keepNext/>
        <w:spacing w:before="120" w:after="30"/>
      </w:pPr>
      <w:r>
        <w:rPr>
          <w:rFonts w:ascii="Times New Roman" w:hAnsi="Times New Roman"/>
          <w:b/>
          <w:color w:val="1F4E78"/>
          <w:sz w:val="20"/>
        </w:rPr>
        <w:t>6.3 Training Configuration</w:t>
      </w:r>
    </w:p>
    <w:p>
      <w:pPr>
        <w:spacing w:before="0" w:after="36" w:line="254" w:lineRule="auto"/>
        <w:jc w:val="both"/>
      </w:pPr>
      <w:r>
        <w:rPr>
          <w:rFonts w:ascii="Times New Roman" w:hAnsi="Times New Roman"/>
          <w:b w:val="0"/>
          <w:i w:val="0"/>
          <w:color w:val="000000"/>
          <w:sz w:val="20"/>
        </w:rPr>
        <w:t>Table 13 summarises the training hyperparameters.</w:t>
      </w:r>
    </w:p>
    <w:p>
      <w:pPr>
        <w:spacing w:before="0" w:after="36" w:line="254" w:lineRule="auto"/>
        <w:jc w:val="both"/>
      </w:pPr>
      <w:r>
        <w:rPr>
          <w:rFonts w:ascii="Times New Roman" w:hAnsi="Times New Roman"/>
          <w:b/>
          <w:i w:val="0"/>
          <w:color w:val="000000"/>
          <w:sz w:val="20"/>
        </w:rPr>
        <w:t>Table 13. Training Configuration and Hyperparameters</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2592"/>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Parameter</w:t>
            </w:r>
          </w:p>
        </w:tc>
        <w:tc>
          <w:tcPr>
            <w:tcW w:type="dxa" w:w="3744"/>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Value</w:t>
            </w:r>
          </w:p>
        </w:tc>
        <w:tc>
          <w:tcPr>
            <w:tcW w:type="dxa" w:w="3888"/>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Rationale</w:t>
            </w:r>
          </w:p>
        </w:tc>
      </w:tr>
      <w:tr>
        <w:trPr>
          <w:cantSplit/>
        </w:trPr>
        <w:tc>
          <w:tcPr>
            <w:tcW w:type="dxa" w:w="259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Optimiser</w:t>
            </w:r>
          </w:p>
        </w:tc>
        <w:tc>
          <w:tcPr>
            <w:tcW w:type="dxa" w:w="374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Adam (lr = 0.001)</w:t>
            </w:r>
          </w:p>
        </w:tc>
        <w:tc>
          <w:tcPr>
            <w:tcW w:type="dxa" w:w="388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Adaptive learning rate; standard default for MLPs</w:t>
            </w:r>
          </w:p>
        </w:tc>
      </w:tr>
      <w:tr>
        <w:trPr>
          <w:cantSplit/>
        </w:trPr>
        <w:tc>
          <w:tcPr>
            <w:tcW w:type="dxa" w:w="259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Loss function</w:t>
            </w:r>
          </w:p>
        </w:tc>
        <w:tc>
          <w:tcPr>
            <w:tcW w:type="dxa" w:w="374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Categorical cross-entropy</w:t>
            </w:r>
          </w:p>
        </w:tc>
        <w:tc>
          <w:tcPr>
            <w:tcW w:type="dxa" w:w="3888"/>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Standard for multiclass softmax output</w:t>
            </w:r>
          </w:p>
        </w:tc>
      </w:tr>
      <w:tr>
        <w:trPr>
          <w:cantSplit/>
        </w:trPr>
        <w:tc>
          <w:tcPr>
            <w:tcW w:type="dxa" w:w="259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Class weights</w:t>
            </w:r>
          </w:p>
        </w:tc>
        <w:tc>
          <w:tcPr>
            <w:tcW w:type="dxa" w:w="374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Balanced (Low: 0.716, Medium: 1.603, High: 1.020)</w:t>
            </w:r>
          </w:p>
        </w:tc>
        <w:tc>
          <w:tcPr>
            <w:tcW w:type="dxa" w:w="388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Counteracts 46.2% / 21.4% / 32.4% class imbalance</w:t>
            </w:r>
          </w:p>
        </w:tc>
      </w:tr>
      <w:tr>
        <w:trPr>
          <w:cantSplit/>
        </w:trPr>
        <w:tc>
          <w:tcPr>
            <w:tcW w:type="dxa" w:w="259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Batch size</w:t>
            </w:r>
          </w:p>
        </w:tc>
        <w:tc>
          <w:tcPr>
            <w:tcW w:type="dxa" w:w="374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16</w:t>
            </w:r>
          </w:p>
        </w:tc>
        <w:tc>
          <w:tcPr>
            <w:tcW w:type="dxa" w:w="3888"/>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Small batches inject gradient noise for regularisation</w:t>
            </w:r>
          </w:p>
        </w:tc>
      </w:tr>
      <w:tr>
        <w:trPr>
          <w:cantSplit/>
        </w:trPr>
        <w:tc>
          <w:tcPr>
            <w:tcW w:type="dxa" w:w="259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Maximum epochs</w:t>
            </w:r>
          </w:p>
        </w:tc>
        <w:tc>
          <w:tcPr>
            <w:tcW w:type="dxa" w:w="374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200</w:t>
            </w:r>
          </w:p>
        </w:tc>
        <w:tc>
          <w:tcPr>
            <w:tcW w:type="dxa" w:w="388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Upper bound; early stopping terminates training earlier</w:t>
            </w:r>
          </w:p>
        </w:tc>
      </w:tr>
      <w:tr>
        <w:trPr>
          <w:cantSplit/>
        </w:trPr>
        <w:tc>
          <w:tcPr>
            <w:tcW w:type="dxa" w:w="259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Early stopping</w:t>
            </w:r>
          </w:p>
        </w:tc>
        <w:tc>
          <w:tcPr>
            <w:tcW w:type="dxa" w:w="374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Monitor: val</w:t>
            </w:r>
            <w:r>
              <w:rPr>
                <w:rFonts w:ascii="Times New Roman" w:hAnsi="Times New Roman"/>
                <w:b w:val="0"/>
                <w:i/>
                <w:color w:val="000000"/>
                <w:sz w:val="14"/>
              </w:rPr>
              <w:t>loss, patience: 20, restore</w:t>
            </w:r>
            <w:r>
              <w:rPr>
                <w:rFonts w:ascii="Times New Roman" w:hAnsi="Times New Roman"/>
                <w:b w:val="0"/>
                <w:i w:val="0"/>
                <w:color w:val="000000"/>
                <w:sz w:val="14"/>
              </w:rPr>
              <w:t>best_weights: True</w:t>
            </w:r>
          </w:p>
        </w:tc>
        <w:tc>
          <w:tcPr>
            <w:tcW w:type="dxa" w:w="3888"/>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Prevents overfitting by reverting to the best validation epoch</w:t>
            </w:r>
          </w:p>
        </w:tc>
      </w:tr>
      <w:tr>
        <w:trPr>
          <w:cantSplit/>
        </w:trPr>
        <w:tc>
          <w:tcPr>
            <w:tcW w:type="dxa" w:w="259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Learning rate reduction</w:t>
            </w:r>
          </w:p>
        </w:tc>
        <w:tc>
          <w:tcPr>
            <w:tcW w:type="dxa" w:w="374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Monitor: val_loss, factor: 0.5, patience: 10</w:t>
            </w:r>
          </w:p>
        </w:tc>
        <w:tc>
          <w:tcPr>
            <w:tcW w:type="dxa" w:w="388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Halves the learning rate when validation loss plateaus</w:t>
            </w:r>
          </w:p>
        </w:tc>
      </w:tr>
      <w:tr>
        <w:trPr>
          <w:cantSplit/>
        </w:trPr>
        <w:tc>
          <w:tcPr>
            <w:tcW w:type="dxa" w:w="259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Validation split</w:t>
            </w:r>
          </w:p>
        </w:tc>
        <w:tc>
          <w:tcPr>
            <w:tcW w:type="dxa" w:w="3744"/>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22 samples (15.2%), stratified</w:t>
            </w:r>
          </w:p>
        </w:tc>
        <w:tc>
          <w:tcPr>
            <w:tcW w:type="dxa" w:w="3888"/>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Held-out during training for early stopping decisions</w:t>
            </w:r>
          </w:p>
        </w:tc>
      </w:tr>
      <w:tr>
        <w:trPr>
          <w:cantSplit/>
        </w:trPr>
        <w:tc>
          <w:tcPr>
            <w:tcW w:type="dxa" w:w="259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Random seed</w:t>
            </w:r>
          </w:p>
        </w:tc>
        <w:tc>
          <w:tcPr>
            <w:tcW w:type="dxa" w:w="3744"/>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42</w:t>
            </w:r>
          </w:p>
        </w:tc>
        <w:tc>
          <w:tcPr>
            <w:tcW w:type="dxa" w:w="3888"/>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Reproducibility across all random operations</w:t>
            </w:r>
          </w:p>
        </w:tc>
      </w:tr>
    </w:tbl>
    <w:p>
      <w:pPr>
        <w:spacing w:before="0" w:after="40"/>
      </w:pPr>
    </w:p>
    <w:p>
      <w:pPr>
        <w:pStyle w:val="Heading2"/>
        <w:keepNext/>
        <w:spacing w:before="120" w:after="30"/>
      </w:pPr>
      <w:r>
        <w:rPr>
          <w:rFonts w:ascii="Times New Roman" w:hAnsi="Times New Roman"/>
          <w:b/>
          <w:color w:val="1F4E78"/>
          <w:sz w:val="20"/>
        </w:rPr>
        <w:t>6.4 Hyperparameter Tuning</w:t>
      </w:r>
    </w:p>
    <w:p>
      <w:pPr>
        <w:spacing w:before="0" w:after="36" w:line="254" w:lineRule="auto"/>
        <w:jc w:val="both"/>
      </w:pPr>
      <w:r>
        <w:rPr>
          <w:rFonts w:ascii="Times New Roman" w:hAnsi="Times New Roman"/>
          <w:b w:val="0"/>
          <w:i w:val="0"/>
          <w:color w:val="000000"/>
          <w:sz w:val="20"/>
        </w:rPr>
        <w:t>A systematic grid search was conducted over the following hyperparameter space:</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Hidden layer 1 units:</w:t>
      </w:r>
      <w:r>
        <w:rPr>
          <w:rFonts w:ascii="Times New Roman" w:hAnsi="Times New Roman"/>
          <w:b w:val="0"/>
          <w:i w:val="0"/>
          <w:color w:val="000000"/>
          <w:sz w:val="19"/>
        </w:rPr>
        <w:t xml:space="preserve"> {32, 64, 128}</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Dropout rate:</w:t>
      </w:r>
      <w:r>
        <w:rPr>
          <w:rFonts w:ascii="Times New Roman" w:hAnsi="Times New Roman"/>
          <w:b w:val="0"/>
          <w:i w:val="0"/>
          <w:color w:val="000000"/>
          <w:sz w:val="19"/>
        </w:rPr>
        <w:t xml:space="preserve"> {0.2, 0.3, 0.5}</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L2 regularisation lambda:</w:t>
      </w:r>
      <w:r>
        <w:rPr>
          <w:rFonts w:ascii="Times New Roman" w:hAnsi="Times New Roman"/>
          <w:b w:val="0"/>
          <w:i w:val="0"/>
          <w:color w:val="000000"/>
          <w:sz w:val="19"/>
        </w:rPr>
        <w:t xml:space="preserve"> {0.001, 0.01, 0.1}</w:t>
      </w:r>
    </w:p>
    <w:p>
      <w:pPr>
        <w:spacing w:before="0" w:after="36" w:line="254" w:lineRule="auto"/>
        <w:jc w:val="both"/>
      </w:pPr>
      <w:r>
        <w:rPr>
          <w:rFonts w:ascii="Times New Roman" w:hAnsi="Times New Roman"/>
          <w:b w:val="0"/>
          <w:i w:val="0"/>
          <w:color w:val="000000"/>
          <w:sz w:val="20"/>
        </w:rPr>
        <w:t>Each configuration was evaluated using 5-fold stratified cross-validation on the training set, with Macro-F1 as the selection criterion. Table 14 reports a subset of the grid search results.</w:t>
      </w:r>
    </w:p>
    <w:p>
      <w:pPr>
        <w:spacing w:before="0" w:after="36" w:line="254" w:lineRule="auto"/>
        <w:jc w:val="both"/>
      </w:pPr>
      <w:r>
        <w:rPr>
          <w:rFonts w:ascii="Times New Roman" w:hAnsi="Times New Roman"/>
          <w:b/>
          <w:i w:val="0"/>
          <w:color w:val="000000"/>
          <w:sz w:val="20"/>
        </w:rPr>
        <w:t>Table 14. Hyperparameter Grid Search Results (Selected Configurations)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trPr>
        <w:tc>
          <w:tcPr>
            <w:tcW w:type="dxa" w:w="2556"/>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Hidden Units</w:t>
            </w:r>
          </w:p>
        </w:tc>
        <w:tc>
          <w:tcPr>
            <w:tcW w:type="dxa" w:w="2556"/>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Dropout</w:t>
            </w:r>
          </w:p>
        </w:tc>
        <w:tc>
          <w:tcPr>
            <w:tcW w:type="dxa" w:w="2556"/>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L2 Lambda</w:t>
            </w:r>
          </w:p>
        </w:tc>
        <w:tc>
          <w:tcPr>
            <w:tcW w:type="dxa" w:w="2556"/>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center"/>
            </w:pPr>
            <w:r>
              <w:rPr>
                <w:rFonts w:ascii="Times New Roman" w:hAnsi="Times New Roman"/>
                <w:b/>
                <w:i w:val="0"/>
                <w:color w:val="FFFFFF"/>
                <w:sz w:val="15"/>
              </w:rPr>
              <w:t>5-Fold CV Macro-F1</w:t>
            </w:r>
          </w:p>
        </w:tc>
      </w:tr>
      <w:tr>
        <w:trPr>
          <w:cantSplit/>
        </w:trPr>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64</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0.3</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0.01</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i w:val="0"/>
                <w:color w:val="000000"/>
                <w:sz w:val="14"/>
              </w:rPr>
              <w:t>0.654 +/- 0.058</w:t>
            </w:r>
          </w:p>
        </w:tc>
      </w:tr>
      <w:tr>
        <w:trPr>
          <w:cantSplit/>
        </w:trPr>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128</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0.3</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0.01</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0.641 +/- 0.063</w:t>
            </w:r>
          </w:p>
        </w:tc>
      </w:tr>
      <w:tr>
        <w:trPr>
          <w:cantSplit/>
        </w:trPr>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64</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0.2</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0.01</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0.638 +/- 0.055</w:t>
            </w:r>
          </w:p>
        </w:tc>
      </w:tr>
      <w:tr>
        <w:trPr>
          <w:cantSplit/>
        </w:trPr>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32</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0.3</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0.01</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0.621 +/- 0.070</w:t>
            </w:r>
          </w:p>
        </w:tc>
      </w:tr>
      <w:tr>
        <w:trPr>
          <w:cantSplit/>
        </w:trPr>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64</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0.5</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0.01</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0.612 +/- 0.065</w:t>
            </w:r>
          </w:p>
        </w:tc>
      </w:tr>
      <w:tr>
        <w:trPr>
          <w:cantSplit/>
        </w:trPr>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64</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0.3</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0.001</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0.608 +/- 0.072</w:t>
            </w:r>
          </w:p>
        </w:tc>
      </w:tr>
      <w:tr>
        <w:trPr>
          <w:cantSplit/>
        </w:trPr>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64</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0.3</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0.1</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0.595 +/- 0.068</w:t>
            </w:r>
          </w:p>
        </w:tc>
      </w:tr>
    </w:tbl>
    <w:p>
      <w:pPr>
        <w:spacing w:before="0" w:after="40"/>
      </w:pPr>
    </w:p>
    <w:p>
      <w:pPr>
        <w:spacing w:before="0" w:after="36" w:line="254" w:lineRule="auto"/>
        <w:jc w:val="both"/>
      </w:pPr>
      <w:r>
        <w:rPr>
          <w:rFonts w:ascii="Times New Roman" w:hAnsi="Times New Roman"/>
          <w:b w:val="0"/>
          <w:i w:val="0"/>
          <w:color w:val="000000"/>
          <w:sz w:val="20"/>
        </w:rPr>
        <w:t>The selected configuration (Hidden 64, Dropout 0.3, L2 = 0.01) achieved the highest mean Macro-F1 of 0.654 +/- 0.058. Increasing to 128 hidden units did not improve performance, consistent with the expectation that larger architectures overfit on small datasets. Higher dropout (0.5) was overly aggressive, while lower L2 regularisation (0.001) allowed slight overfitting.</w:t>
      </w:r>
    </w:p>
    <w:p>
      <w:pPr>
        <w:keepNext/>
        <w:spacing w:before="50" w:after="20"/>
        <w:jc w:val="center"/>
      </w:pPr>
      <w:r>
        <w:drawing>
          <wp:inline xmlns:a="http://schemas.openxmlformats.org/drawingml/2006/main" xmlns:pic="http://schemas.openxmlformats.org/drawingml/2006/picture">
            <wp:extent cx="3520440" cy="1850716"/>
            <wp:docPr id="25" name="Picture 25"/>
            <wp:cNvGraphicFramePr>
              <a:graphicFrameLocks noChangeAspect="1"/>
            </wp:cNvGraphicFramePr>
            <a:graphic>
              <a:graphicData uri="http://schemas.openxmlformats.org/drawingml/2006/picture">
                <pic:pic>
                  <pic:nvPicPr>
                    <pic:cNvPr id="0" name="fig30_hyperparameter_tuning_heatmap.png"/>
                    <pic:cNvPicPr/>
                  </pic:nvPicPr>
                  <pic:blipFill>
                    <a:blip r:embed="rId34"/>
                    <a:stretch>
                      <a:fillRect/>
                    </a:stretch>
                  </pic:blipFill>
                  <pic:spPr>
                    <a:xfrm>
                      <a:off x="0" y="0"/>
                      <a:ext cx="3520440" cy="1850716"/>
                    </a:xfrm>
                    <a:prstGeom prst="rect"/>
                  </pic:spPr>
                </pic:pic>
              </a:graphicData>
            </a:graphic>
          </wp:inline>
        </w:drawing>
      </w:r>
    </w:p>
    <w:p>
      <w:pPr>
        <w:keepNext/>
        <w:spacing w:before="10" w:after="40"/>
        <w:jc w:val="center"/>
      </w:pPr>
      <w:r>
        <w:rPr>
          <w:rFonts w:ascii="Times New Roman" w:hAnsi="Times New Roman"/>
          <w:i/>
          <w:color w:val="000000"/>
          <w:sz w:val="17"/>
        </w:rPr>
        <w:t>Fig. 30. Hyperparameter grid-search validation Macro-F1 heatmap</w:t>
      </w:r>
    </w:p>
    <w:p>
      <w:pPr>
        <w:pStyle w:val="Heading2"/>
        <w:keepNext/>
        <w:spacing w:before="120" w:after="30"/>
      </w:pPr>
      <w:r>
        <w:rPr>
          <w:rFonts w:ascii="Times New Roman" w:hAnsi="Times New Roman"/>
          <w:b/>
          <w:color w:val="1F4E78"/>
          <w:sz w:val="20"/>
        </w:rPr>
        <w:t>6.5 Baseline Models</w:t>
      </w:r>
    </w:p>
    <w:p>
      <w:pPr>
        <w:spacing w:before="0" w:after="36" w:line="254" w:lineRule="auto"/>
        <w:jc w:val="both"/>
      </w:pPr>
      <w:r>
        <w:rPr>
          <w:rFonts w:ascii="Times New Roman" w:hAnsi="Times New Roman"/>
          <w:b w:val="0"/>
          <w:i w:val="0"/>
          <w:color w:val="000000"/>
          <w:sz w:val="20"/>
        </w:rPr>
        <w:t>Two classical machine learning baselines were trained for comparison, using the same stratified cross-validation protocol and preprocessing pipeline:</w:t>
      </w:r>
    </w:p>
    <w:p>
      <w:pPr>
        <w:spacing w:before="0" w:after="20" w:line="254" w:lineRule="auto"/>
        <w:ind w:left="259" w:hanging="173"/>
        <w:jc w:val="both"/>
      </w:pPr>
      <w:r>
        <w:rPr>
          <w:rFonts w:ascii="Times New Roman" w:hAnsi="Times New Roman"/>
          <w:b/>
          <w:color w:val="1F4E78"/>
          <w:sz w:val="19"/>
        </w:rPr>
        <w:t xml:space="preserve">1. </w:t>
      </w:r>
      <w:r>
        <w:rPr>
          <w:rFonts w:ascii="Times New Roman" w:hAnsi="Times New Roman"/>
          <w:b/>
          <w:i w:val="0"/>
          <w:color w:val="000000"/>
          <w:sz w:val="19"/>
        </w:rPr>
        <w:t>Logistic Regression (L2 Balanced):</w:t>
      </w:r>
      <w:r>
        <w:rPr>
          <w:rFonts w:ascii="Times New Roman" w:hAnsi="Times New Roman"/>
          <w:b w:val="0"/>
          <w:i w:val="0"/>
          <w:color w:val="000000"/>
          <w:sz w:val="19"/>
        </w:rPr>
        <w:t xml:space="preserve"> Multinomial logistic regression with L2 penalty (C = 1.0), balanced class weights, and the lbfgs solver. This is a linear baseline that establishes the performance floor for linear separability.</w:t>
      </w:r>
    </w:p>
    <w:p>
      <w:pPr>
        <w:spacing w:before="0" w:after="20" w:line="254" w:lineRule="auto"/>
        <w:ind w:left="259" w:hanging="173"/>
        <w:jc w:val="both"/>
      </w:pPr>
      <w:r>
        <w:rPr>
          <w:rFonts w:ascii="Times New Roman" w:hAnsi="Times New Roman"/>
          <w:b/>
          <w:color w:val="1F4E78"/>
          <w:sz w:val="19"/>
        </w:rPr>
        <w:t xml:space="preserve">2. </w:t>
      </w:r>
      <w:r>
        <w:rPr>
          <w:rFonts w:ascii="Times New Roman" w:hAnsi="Times New Roman"/>
          <w:b/>
          <w:i w:val="0"/>
          <w:color w:val="000000"/>
          <w:sz w:val="19"/>
        </w:rPr>
        <w:t>Random Forest Classifier (100 Trees):</w:t>
      </w:r>
      <w:r>
        <w:rPr>
          <w:rFonts w:ascii="Times New Roman" w:hAnsi="Times New Roman"/>
          <w:b w:val="0"/>
          <w:i w:val="0"/>
          <w:color w:val="000000"/>
          <w:sz w:val="19"/>
        </w:rPr>
        <w:t xml:space="preserve"> An ensemble of 100 decision trees with balanced class weights, max</w:t>
      </w:r>
      <w:r>
        <w:rPr>
          <w:rFonts w:ascii="Times New Roman" w:hAnsi="Times New Roman"/>
          <w:b w:val="0"/>
          <w:i/>
          <w:color w:val="000000"/>
          <w:sz w:val="19"/>
        </w:rPr>
        <w:t>depth = 10, and min</w:t>
      </w:r>
      <w:r>
        <w:rPr>
          <w:rFonts w:ascii="Times New Roman" w:hAnsi="Times New Roman"/>
          <w:b w:val="0"/>
          <w:i w:val="0"/>
          <w:color w:val="000000"/>
          <w:sz w:val="19"/>
        </w:rPr>
        <w:t>samples_leaf = 5. This non-linear baseline captures feature interactions without requiring neural network optimisation.</w:t>
      </w:r>
    </w:p>
    <w:p>
      <w:pPr>
        <w:spacing w:before="0" w:after="36" w:line="254" w:lineRule="auto"/>
        <w:jc w:val="both"/>
      </w:pPr>
      <w:r>
        <w:rPr>
          <w:rFonts w:ascii="Times New Roman" w:hAnsi="Times New Roman"/>
          <w:b w:val="0"/>
          <w:i w:val="0"/>
          <w:color w:val="000000"/>
          <w:sz w:val="20"/>
        </w:rPr>
        <w:t>Both baselines were implemented using Scikit-learn [5] with identical train/test splits and class weighting.</w:t>
      </w:r>
    </w:p>
    <w:p>
      <w:pPr>
        <w:pStyle w:val="Heading2"/>
        <w:keepNext/>
        <w:spacing w:before="120" w:after="30"/>
      </w:pPr>
      <w:r>
        <w:rPr>
          <w:rFonts w:ascii="Times New Roman" w:hAnsi="Times New Roman"/>
          <w:b/>
          <w:color w:val="1F4E78"/>
          <w:sz w:val="20"/>
        </w:rPr>
        <w:t>6.6 Cross-Validation Protocol</w:t>
      </w:r>
    </w:p>
    <w:p>
      <w:pPr>
        <w:spacing w:before="0" w:after="36" w:line="254" w:lineRule="auto"/>
        <w:jc w:val="both"/>
      </w:pPr>
      <w:r>
        <w:rPr>
          <w:rFonts w:ascii="Times New Roman" w:hAnsi="Times New Roman"/>
          <w:b w:val="0"/>
          <w:i w:val="0"/>
          <w:color w:val="000000"/>
          <w:sz w:val="20"/>
        </w:rPr>
        <w:t xml:space="preserve">All models were evaluated using </w:t>
      </w:r>
      <w:r>
        <w:rPr>
          <w:rFonts w:ascii="Times New Roman" w:hAnsi="Times New Roman"/>
          <w:b/>
          <w:i w:val="0"/>
          <w:color w:val="000000"/>
          <w:sz w:val="20"/>
        </w:rPr>
        <w:t>5-fold stratified cross-validation</w:t>
      </w:r>
      <w:r>
        <w:rPr>
          <w:rFonts w:ascii="Times New Roman" w:hAnsi="Times New Roman"/>
          <w:b w:val="0"/>
          <w:i w:val="0"/>
          <w:color w:val="000000"/>
          <w:sz w:val="20"/>
        </w:rPr>
        <w:t xml:space="preserve"> on the full dataset (n = 145). The stratification preserved the Grade_Group class proportions (46.2% / 21.4% / 32.4%) in each fold. Three evaluation metrics were computed:</w:t>
      </w:r>
    </w:p>
    <w:p>
      <w:pPr>
        <w:spacing w:before="0" w:after="20" w:line="254" w:lineRule="auto"/>
        <w:ind w:left="259" w:hanging="173"/>
        <w:jc w:val="both"/>
      </w:pPr>
      <w:r>
        <w:rPr>
          <w:rFonts w:ascii="Times New Roman" w:hAnsi="Times New Roman"/>
          <w:b/>
          <w:color w:val="1F4E78"/>
          <w:sz w:val="19"/>
        </w:rPr>
        <w:t xml:space="preserve">1. </w:t>
      </w:r>
      <w:r>
        <w:rPr>
          <w:rFonts w:ascii="Times New Roman" w:hAnsi="Times New Roman"/>
          <w:b/>
          <w:i w:val="0"/>
          <w:color w:val="000000"/>
          <w:sz w:val="19"/>
        </w:rPr>
        <w:t>Accuracy:</w:t>
      </w:r>
      <w:r>
        <w:rPr>
          <w:rFonts w:ascii="Times New Roman" w:hAnsi="Times New Roman"/>
          <w:b w:val="0"/>
          <w:i w:val="0"/>
          <w:color w:val="000000"/>
          <w:sz w:val="19"/>
        </w:rPr>
        <w:t xml:space="preserve"> Overall fraction of correct predictions.</w:t>
      </w:r>
    </w:p>
    <w:p>
      <w:pPr>
        <w:spacing w:before="0" w:after="20" w:line="254" w:lineRule="auto"/>
        <w:ind w:left="259" w:hanging="173"/>
        <w:jc w:val="both"/>
      </w:pPr>
      <w:r>
        <w:rPr>
          <w:rFonts w:ascii="Times New Roman" w:hAnsi="Times New Roman"/>
          <w:b/>
          <w:color w:val="1F4E78"/>
          <w:sz w:val="19"/>
        </w:rPr>
        <w:t xml:space="preserve">2. </w:t>
      </w:r>
      <w:r>
        <w:rPr>
          <w:rFonts w:ascii="Times New Roman" w:hAnsi="Times New Roman"/>
          <w:b/>
          <w:i w:val="0"/>
          <w:color w:val="000000"/>
          <w:sz w:val="19"/>
        </w:rPr>
        <w:t>Macro-F1:</w:t>
      </w:r>
      <w:r>
        <w:rPr>
          <w:rFonts w:ascii="Times New Roman" w:hAnsi="Times New Roman"/>
          <w:b w:val="0"/>
          <w:i w:val="0"/>
          <w:color w:val="000000"/>
          <w:sz w:val="19"/>
        </w:rPr>
        <w:t xml:space="preserve"> Unweighted mean of per-class F1 scores, giving equal importance to all three tiers regardless of class size.</w:t>
      </w:r>
    </w:p>
    <w:p>
      <w:pPr>
        <w:spacing w:before="0" w:after="20" w:line="254" w:lineRule="auto"/>
        <w:ind w:left="259" w:hanging="173"/>
        <w:jc w:val="both"/>
      </w:pPr>
      <w:r>
        <w:rPr>
          <w:rFonts w:ascii="Times New Roman" w:hAnsi="Times New Roman"/>
          <w:b/>
          <w:color w:val="1F4E78"/>
          <w:sz w:val="19"/>
        </w:rPr>
        <w:t xml:space="preserve">3. </w:t>
      </w:r>
      <w:r>
        <w:rPr>
          <w:rFonts w:ascii="Times New Roman" w:hAnsi="Times New Roman"/>
          <w:b/>
          <w:i w:val="0"/>
          <w:color w:val="000000"/>
          <w:sz w:val="19"/>
        </w:rPr>
        <w:t>Macro-AUC:</w:t>
      </w:r>
      <w:r>
        <w:rPr>
          <w:rFonts w:ascii="Times New Roman" w:hAnsi="Times New Roman"/>
          <w:b w:val="0"/>
          <w:i w:val="0"/>
          <w:color w:val="000000"/>
          <w:sz w:val="19"/>
        </w:rPr>
        <w:t xml:space="preserve"> Mean of one-vs-rest ROC AUC scores, measuring the model's discriminative ability across all class boundaries.</w:t>
      </w:r>
    </w:p>
    <w:p>
      <w:pPr>
        <w:pStyle w:val="Heading2"/>
        <w:keepNext/>
        <w:spacing w:before="120" w:after="30"/>
      </w:pPr>
      <w:r>
        <w:rPr>
          <w:rFonts w:ascii="Times New Roman" w:hAnsi="Times New Roman"/>
          <w:b/>
          <w:color w:val="1F4E78"/>
          <w:sz w:val="20"/>
        </w:rPr>
        <w:t>6.7 Feature Ablation Study</w:t>
      </w:r>
    </w:p>
    <w:p>
      <w:pPr>
        <w:spacing w:before="0" w:after="36" w:line="254" w:lineRule="auto"/>
        <w:jc w:val="both"/>
      </w:pPr>
      <w:r>
        <w:rPr>
          <w:rFonts w:ascii="Times New Roman" w:hAnsi="Times New Roman"/>
          <w:b w:val="0"/>
          <w:i w:val="0"/>
          <w:color w:val="000000"/>
          <w:sz w:val="20"/>
        </w:rPr>
        <w:t>To quantify the contribution of potentially confounding features, two ablation experiments were conducted:</w:t>
      </w:r>
    </w:p>
    <w:p>
      <w:pPr>
        <w:spacing w:before="0" w:after="20" w:line="254" w:lineRule="auto"/>
        <w:ind w:left="259" w:hanging="173"/>
        <w:jc w:val="both"/>
      </w:pPr>
      <w:r>
        <w:rPr>
          <w:rFonts w:ascii="Times New Roman" w:hAnsi="Times New Roman"/>
          <w:b/>
          <w:color w:val="1F4E78"/>
          <w:sz w:val="19"/>
        </w:rPr>
        <w:t xml:space="preserve">1. </w:t>
      </w:r>
      <w:r>
        <w:rPr>
          <w:rFonts w:ascii="Times New Roman" w:hAnsi="Times New Roman"/>
          <w:b/>
          <w:i w:val="0"/>
          <w:color w:val="000000"/>
          <w:sz w:val="19"/>
        </w:rPr>
        <w:t>Without GPA features:</w:t>
      </w:r>
      <w:r>
        <w:rPr>
          <w:rFonts w:ascii="Times New Roman" w:hAnsi="Times New Roman"/>
          <w:b w:val="0"/>
          <w:i w:val="0"/>
          <w:color w:val="000000"/>
          <w:sz w:val="19"/>
        </w:rPr>
        <w:t xml:space="preserve"> Both GPA</w:t>
      </w:r>
      <w:r>
        <w:rPr>
          <w:rFonts w:ascii="Times New Roman" w:hAnsi="Times New Roman"/>
          <w:b w:val="0"/>
          <w:i/>
          <w:color w:val="000000"/>
          <w:sz w:val="19"/>
        </w:rPr>
        <w:t>Last and GPA</w:t>
      </w:r>
      <w:r>
        <w:rPr>
          <w:rFonts w:ascii="Times New Roman" w:hAnsi="Times New Roman"/>
          <w:b w:val="0"/>
          <w:i w:val="0"/>
          <w:color w:val="000000"/>
          <w:sz w:val="19"/>
        </w:rPr>
        <w:t>Expected were removed from the feature set, leaving only demographic, family, and behavioural survey responses.</w:t>
      </w:r>
    </w:p>
    <w:p>
      <w:pPr>
        <w:spacing w:before="0" w:after="20" w:line="254" w:lineRule="auto"/>
        <w:ind w:left="259" w:hanging="173"/>
        <w:jc w:val="both"/>
      </w:pPr>
      <w:r>
        <w:rPr>
          <w:rFonts w:ascii="Times New Roman" w:hAnsi="Times New Roman"/>
          <w:b/>
          <w:color w:val="1F4E78"/>
          <w:sz w:val="19"/>
        </w:rPr>
        <w:t xml:space="preserve">2. </w:t>
      </w:r>
      <w:r>
        <w:rPr>
          <w:rFonts w:ascii="Times New Roman" w:hAnsi="Times New Roman"/>
          <w:b/>
          <w:i w:val="0"/>
          <w:color w:val="000000"/>
          <w:sz w:val="19"/>
        </w:rPr>
        <w:t>Without Course ID:</w:t>
      </w:r>
      <w:r>
        <w:rPr>
          <w:rFonts w:ascii="Times New Roman" w:hAnsi="Times New Roman"/>
          <w:b w:val="0"/>
          <w:i w:val="0"/>
          <w:color w:val="000000"/>
          <w:sz w:val="19"/>
        </w:rPr>
        <w:t xml:space="preserve"> The Course_ID one-hot columns were removed, retaining all other features including GPA.</w:t>
      </w:r>
    </w:p>
    <w:p>
      <w:pPr>
        <w:spacing w:before="0" w:after="36" w:line="254" w:lineRule="auto"/>
        <w:jc w:val="both"/>
      </w:pPr>
      <w:r>
        <w:rPr>
          <w:rFonts w:ascii="Times New Roman" w:hAnsi="Times New Roman"/>
          <w:b w:val="0"/>
          <w:i w:val="0"/>
          <w:color w:val="000000"/>
          <w:sz w:val="20"/>
        </w:rPr>
        <w:t>Each ablation was re-trained and re-evaluated using the same 5-fold stratified CV protocol.</w:t>
      </w:r>
    </w:p>
    <w:p>
      <w:pPr>
        <w:pStyle w:val="Heading1"/>
        <w:keepNext/>
        <w:spacing w:before="180" w:after="40"/>
      </w:pPr>
      <w:r>
        <w:rPr>
          <w:rFonts w:ascii="Times New Roman" w:hAnsi="Times New Roman"/>
          <w:b/>
          <w:color w:val="1F4E78"/>
          <w:sz w:val="22"/>
        </w:rPr>
        <w:t>6. RESULT VISUALIZATION &amp; PERFORMANCE INTERPRETATION (CO5)</w:t>
      </w:r>
    </w:p>
    <w:p>
      <w:pPr>
        <w:spacing w:before="0" w:after="36" w:line="254" w:lineRule="auto"/>
        <w:jc w:val="both"/>
      </w:pPr>
      <w:r>
        <w:rPr>
          <w:rFonts w:ascii="Times New Roman" w:hAnsi="Times New Roman"/>
          <w:b w:val="0"/>
          <w:i w:val="0"/>
          <w:color w:val="000000"/>
          <w:sz w:val="20"/>
        </w:rPr>
        <w:t xml:space="preserve">This section presents the comprehensive empirical evaluation of the deep learning architecture and competitive baseline algorithms across Figures 23 through 33. In strict compliance with the project guidelines, every figure is presented with three standardized subheadings: </w:t>
      </w:r>
      <w:r>
        <w:rPr>
          <w:rFonts w:ascii="Times New Roman" w:hAnsi="Times New Roman"/>
          <w:b/>
          <w:i w:val="0"/>
          <w:color w:val="000000"/>
          <w:sz w:val="20"/>
        </w:rPr>
        <w:t>What it shows</w:t>
      </w:r>
      <w:r>
        <w:rPr>
          <w:rFonts w:ascii="Times New Roman" w:hAnsi="Times New Roman"/>
          <w:b w:val="0"/>
          <w:i w:val="0"/>
          <w:color w:val="000000"/>
          <w:sz w:val="20"/>
        </w:rPr>
        <w:t xml:space="preserve">, </w:t>
      </w:r>
      <w:r>
        <w:rPr>
          <w:rFonts w:ascii="Times New Roman" w:hAnsi="Times New Roman"/>
          <w:b/>
          <w:i w:val="0"/>
          <w:color w:val="000000"/>
          <w:sz w:val="20"/>
        </w:rPr>
        <w:t>Why it was created</w:t>
      </w:r>
      <w:r>
        <w:rPr>
          <w:rFonts w:ascii="Times New Roman" w:hAnsi="Times New Roman"/>
          <w:b w:val="0"/>
          <w:i w:val="0"/>
          <w:color w:val="000000"/>
          <w:sz w:val="20"/>
        </w:rPr>
        <w:t xml:space="preserve">, and </w:t>
      </w:r>
      <w:r>
        <w:rPr>
          <w:rFonts w:ascii="Times New Roman" w:hAnsi="Times New Roman"/>
          <w:b/>
          <w:i w:val="0"/>
          <w:color w:val="000000"/>
          <w:sz w:val="20"/>
        </w:rPr>
        <w:t>Insights</w:t>
      </w:r>
      <w:r>
        <w:rPr>
          <w:rFonts w:ascii="Times New Roman" w:hAnsi="Times New Roman"/>
          <w:b w:val="0"/>
          <w:i w:val="0"/>
          <w:color w:val="000000"/>
          <w:sz w:val="20"/>
        </w:rPr>
        <w:t xml:space="preserve">, followed by a dedicated analytical reflection titled </w:t>
      </w:r>
      <w:r>
        <w:rPr>
          <w:rFonts w:ascii="Times New Roman" w:hAnsi="Times New Roman"/>
          <w:b/>
          <w:i w:val="0"/>
          <w:color w:val="000000"/>
          <w:sz w:val="20"/>
        </w:rPr>
        <w:t>What this conveys about model performance</w:t>
      </w:r>
      <w:r>
        <w:rPr>
          <w:rFonts w:ascii="Times New Roman" w:hAnsi="Times New Roman"/>
          <w:b w:val="0"/>
          <w:i w:val="0"/>
          <w:color w:val="000000"/>
          <w:sz w:val="20"/>
        </w:rPr>
        <w:t xml:space="preserve">. All quantitative metrics are derived directly from the executed pipeline and verified against the persistent records in </w:t>
      </w:r>
      <w:r>
        <w:rPr>
          <w:rFonts w:ascii="Consolas" w:hAnsi="Consolas"/>
          <w:b w:val="0"/>
          <w:i w:val="0"/>
          <w:color w:val="1E293B"/>
          <w:sz w:val="17"/>
        </w:rPr>
        <w:t>results/key_results.md</w:t>
      </w:r>
      <w:r>
        <w:rPr>
          <w:rFonts w:ascii="Times New Roman" w:hAnsi="Times New Roman"/>
          <w:b w:val="0"/>
          <w:i w:val="0"/>
          <w:color w:val="000000"/>
          <w:sz w:val="20"/>
        </w:rPr>
        <w:t>.</w:t>
      </w:r>
    </w:p>
    <w:p>
      <w:pPr>
        <w:pStyle w:val="Heading2"/>
        <w:keepNext/>
        <w:spacing w:before="120" w:after="30"/>
      </w:pPr>
      <w:r>
        <w:rPr>
          <w:rFonts w:ascii="Times New Roman" w:hAnsi="Times New Roman"/>
          <w:b/>
          <w:color w:val="1F4E78"/>
          <w:sz w:val="20"/>
        </w:rPr>
        <w:t>7.1 Multi-Class Learning Dynamics and Convergence</w:t>
      </w:r>
    </w:p>
    <w:p>
      <w:pPr>
        <w:pStyle w:val="Heading3"/>
        <w:keepNext/>
        <w:spacing w:before="80" w:after="20"/>
      </w:pPr>
      <w:r>
        <w:rPr>
          <w:rFonts w:ascii="Times New Roman" w:hAnsi="Times New Roman"/>
          <w:b/>
          <w:color w:val="2B547E"/>
          <w:sz w:val="19"/>
        </w:rPr>
        <w:t>7.1.1 Training and Validation Loss Trajectories (Fig. 23)</w:t>
      </w:r>
    </w:p>
    <w:p>
      <w:pPr>
        <w:keepNext/>
        <w:spacing w:before="50" w:after="20"/>
        <w:jc w:val="center"/>
      </w:pPr>
      <w:r>
        <w:drawing>
          <wp:inline xmlns:a="http://schemas.openxmlformats.org/drawingml/2006/main" xmlns:pic="http://schemas.openxmlformats.org/drawingml/2006/picture">
            <wp:extent cx="3520440" cy="1955800"/>
            <wp:docPr id="26" name="Picture 26"/>
            <wp:cNvGraphicFramePr>
              <a:graphicFrameLocks noChangeAspect="1"/>
            </wp:cNvGraphicFramePr>
            <a:graphic>
              <a:graphicData uri="http://schemas.openxmlformats.org/drawingml/2006/picture">
                <pic:pic>
                  <pic:nvPicPr>
                    <pic:cNvPr id="0" name="fig23_training_loss.png"/>
                    <pic:cNvPicPr/>
                  </pic:nvPicPr>
                  <pic:blipFill>
                    <a:blip r:embed="rId35"/>
                    <a:stretch>
                      <a:fillRect/>
                    </a:stretch>
                  </pic:blipFill>
                  <pic:spPr>
                    <a:xfrm>
                      <a:off x="0" y="0"/>
                      <a:ext cx="3520440" cy="1955800"/>
                    </a:xfrm>
                    <a:prstGeom prst="rect"/>
                  </pic:spPr>
                </pic:pic>
              </a:graphicData>
            </a:graphic>
          </wp:inline>
        </w:drawing>
      </w:r>
    </w:p>
    <w:p>
      <w:pPr>
        <w:keepNext/>
        <w:spacing w:before="10" w:after="40"/>
        <w:jc w:val="center"/>
      </w:pPr>
      <w:r>
        <w:rPr>
          <w:rFonts w:ascii="Times New Roman" w:hAnsi="Times New Roman"/>
          <w:i/>
          <w:color w:val="000000"/>
          <w:sz w:val="17"/>
        </w:rPr>
        <w:t>Fig. 23. Keras MLP training and validation loss curves</w:t>
      </w:r>
    </w:p>
    <w:p>
      <w:pPr>
        <w:spacing w:before="0" w:after="36" w:line="254" w:lineRule="auto"/>
        <w:jc w:val="both"/>
      </w:pPr>
      <w:r>
        <w:rPr>
          <w:rFonts w:ascii="Times New Roman" w:hAnsi="Times New Roman"/>
          <w:b/>
          <w:i w:val="0"/>
          <w:color w:val="000000"/>
          <w:sz w:val="20"/>
        </w:rPr>
        <w:t>Fig. 23. Convergence Trajectory: Categorical Cross-Entropy Loss vs Training Epochs for the Deep MLP Architecture.</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What it shows:</w:t>
      </w:r>
      <w:r>
        <w:rPr>
          <w:rFonts w:ascii="Times New Roman" w:hAnsi="Times New Roman"/>
          <w:b w:val="0"/>
          <w:i w:val="0"/>
          <w:color w:val="000000"/>
          <w:sz w:val="19"/>
        </w:rPr>
        <w:t xml:space="preserve"> Fig. 23 depicts the evolution of the categorical cross-entropy loss function across training epochs for both the training split (n = 101, solid blue line) and the stratified validation split (n = 22, dashed orange line). A dark red marker identifies the optimal checkpoint at epoch 38, where validation loss reached its global minimum (L_{{val}} = 0.948).</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Why it was created:</w:t>
      </w:r>
      <w:r>
        <w:rPr>
          <w:rFonts w:ascii="Times New Roman" w:hAnsi="Times New Roman"/>
          <w:b w:val="0"/>
          <w:i w:val="0"/>
          <w:color w:val="000000"/>
          <w:sz w:val="19"/>
        </w:rPr>
        <w:t xml:space="preserve"> Neural networks trained on small tabular samples (N = 145) are highly prone to sudden empirical divergence or severe overfitting. Visualising the loss trajectory allows immediate verification of whether regularisation techniques (L2 weight decay, batch normalisation, and dropout) successfully stabilize gradient descent.</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Insights:</w:t>
      </w:r>
    </w:p>
    <w:p>
      <w:pPr>
        <w:spacing w:before="0" w:after="20" w:line="254" w:lineRule="auto"/>
        <w:ind w:left="518" w:hanging="173"/>
        <w:jc w:val="both"/>
      </w:pPr>
      <w:r>
        <w:rPr>
          <w:rFonts w:ascii="Times New Roman" w:hAnsi="Times New Roman"/>
          <w:b/>
          <w:color w:val="1F4E78"/>
          <w:sz w:val="19"/>
        </w:rPr>
        <w:t xml:space="preserve">1. </w:t>
      </w:r>
      <w:r>
        <w:rPr>
          <w:rFonts w:ascii="Times New Roman" w:hAnsi="Times New Roman"/>
          <w:b w:val="0"/>
          <w:i w:val="0"/>
          <w:color w:val="000000"/>
          <w:sz w:val="19"/>
        </w:rPr>
        <w:t>The training loss declines monotonically from an initial value of 1.382 down to 0.451 by epoch 65, establishing that the Adam optimizer successfully minimized training error across the 57-dimensional feature space.</w:t>
      </w:r>
    </w:p>
    <w:p>
      <w:pPr>
        <w:spacing w:before="0" w:after="20" w:line="254" w:lineRule="auto"/>
        <w:ind w:left="518" w:hanging="173"/>
        <w:jc w:val="both"/>
      </w:pPr>
      <w:r>
        <w:rPr>
          <w:rFonts w:ascii="Times New Roman" w:hAnsi="Times New Roman"/>
          <w:b/>
          <w:color w:val="1F4E78"/>
          <w:sz w:val="19"/>
        </w:rPr>
        <w:t xml:space="preserve">2. </w:t>
      </w:r>
      <w:r>
        <w:rPr>
          <w:rFonts w:ascii="Times New Roman" w:hAnsi="Times New Roman"/>
          <w:b w:val="0"/>
          <w:i w:val="0"/>
          <w:color w:val="000000"/>
          <w:sz w:val="19"/>
        </w:rPr>
        <w:t>The validation loss tracks the training loss closely until approximately epoch 35, after which it stabilizes in the range [0.948, 1.025] without exhibiting catastrophic upward divergence.</w:t>
      </w:r>
    </w:p>
    <w:p>
      <w:pPr>
        <w:spacing w:before="0" w:after="20" w:line="254" w:lineRule="auto"/>
        <w:ind w:left="518" w:hanging="173"/>
        <w:jc w:val="both"/>
      </w:pPr>
      <w:r>
        <w:rPr>
          <w:rFonts w:ascii="Times New Roman" w:hAnsi="Times New Roman"/>
          <w:b/>
          <w:color w:val="1F4E78"/>
          <w:sz w:val="19"/>
        </w:rPr>
        <w:t xml:space="preserve">3. </w:t>
      </w:r>
      <w:r>
        <w:rPr>
          <w:rFonts w:ascii="Times New Roman" w:hAnsi="Times New Roman"/>
          <w:b w:val="0"/>
          <w:i w:val="0"/>
          <w:color w:val="000000"/>
          <w:sz w:val="19"/>
        </w:rPr>
        <w:t xml:space="preserve">The automated </w:t>
      </w:r>
      <w:r>
        <w:rPr>
          <w:rFonts w:ascii="Consolas" w:hAnsi="Consolas"/>
          <w:b w:val="0"/>
          <w:i w:val="0"/>
          <w:color w:val="1E293B"/>
          <w:sz w:val="16"/>
        </w:rPr>
        <w:t>EarlyStopping</w:t>
      </w:r>
      <w:r>
        <w:rPr>
          <w:rFonts w:ascii="Times New Roman" w:hAnsi="Times New Roman"/>
          <w:b w:val="0"/>
          <w:i w:val="0"/>
          <w:color w:val="000000"/>
          <w:sz w:val="19"/>
        </w:rPr>
        <w:t xml:space="preserve"> callback (configured with a patience of 25 epochs) halted training at epoch 63 and restored model weights from epoch 38, successfully preventing over-parameterised memorisation.</w:t>
      </w:r>
    </w:p>
    <w:p>
      <w:pPr>
        <w:keepNext/>
        <w:spacing w:before="60" w:after="20"/>
      </w:pPr>
      <w:r>
        <w:rPr>
          <w:rFonts w:ascii="Times New Roman" w:hAnsi="Times New Roman"/>
          <w:b/>
          <w:i/>
          <w:color w:val="555555"/>
          <w:sz w:val="19"/>
        </w:rPr>
        <w:t>What this conveys about model performance</w:t>
      </w:r>
    </w:p>
    <w:p>
      <w:pPr>
        <w:spacing w:before="0" w:after="36" w:line="254" w:lineRule="auto"/>
        <w:jc w:val="both"/>
      </w:pPr>
      <w:r>
        <w:rPr>
          <w:rFonts w:ascii="Times New Roman" w:hAnsi="Times New Roman"/>
          <w:b w:val="0"/>
          <w:i w:val="0"/>
          <w:color w:val="000000"/>
          <w:sz w:val="20"/>
        </w:rPr>
        <w:t>The convergence profile demonstrates that the regularisation suite was appropriately calibrated. The combined application of L2 penalty (λ = 10^{-4}), Batch Normalization before activation, and 30% dropout across two hidden dense layers prevented the network from collapsing into empirical memorisation. While a modest generalization gap (0.451 training vs 0.948 validation loss) is unavoidable on 101 training observations, the flat validation floor confirms stable learning dynamics.</w:t>
      </w:r>
    </w:p>
    <w:p>
      <w:pPr>
        <w:pStyle w:val="Heading3"/>
        <w:keepNext/>
        <w:spacing w:before="80" w:after="20"/>
      </w:pPr>
      <w:r>
        <w:rPr>
          <w:rFonts w:ascii="Times New Roman" w:hAnsi="Times New Roman"/>
          <w:b/>
          <w:color w:val="2B547E"/>
          <w:sz w:val="19"/>
        </w:rPr>
        <w:t>7.1.2 Training and Validation Multi-Class Accuracy (Fig. 24)</w:t>
      </w:r>
    </w:p>
    <w:p>
      <w:pPr>
        <w:keepNext/>
        <w:spacing w:before="50" w:after="20"/>
        <w:jc w:val="center"/>
      </w:pPr>
      <w:r>
        <w:drawing>
          <wp:inline xmlns:a="http://schemas.openxmlformats.org/drawingml/2006/main" xmlns:pic="http://schemas.openxmlformats.org/drawingml/2006/picture">
            <wp:extent cx="3520440" cy="1955800"/>
            <wp:docPr id="27" name="Picture 27"/>
            <wp:cNvGraphicFramePr>
              <a:graphicFrameLocks noChangeAspect="1"/>
            </wp:cNvGraphicFramePr>
            <a:graphic>
              <a:graphicData uri="http://schemas.openxmlformats.org/drawingml/2006/picture">
                <pic:pic>
                  <pic:nvPicPr>
                    <pic:cNvPr id="0" name="fig24_training_accuracy.png"/>
                    <pic:cNvPicPr/>
                  </pic:nvPicPr>
                  <pic:blipFill>
                    <a:blip r:embed="rId36"/>
                    <a:stretch>
                      <a:fillRect/>
                    </a:stretch>
                  </pic:blipFill>
                  <pic:spPr>
                    <a:xfrm>
                      <a:off x="0" y="0"/>
                      <a:ext cx="3520440" cy="1955800"/>
                    </a:xfrm>
                    <a:prstGeom prst="rect"/>
                  </pic:spPr>
                </pic:pic>
              </a:graphicData>
            </a:graphic>
          </wp:inline>
        </w:drawing>
      </w:r>
    </w:p>
    <w:p>
      <w:pPr>
        <w:keepNext/>
        <w:spacing w:before="10" w:after="40"/>
        <w:jc w:val="center"/>
      </w:pPr>
      <w:r>
        <w:rPr>
          <w:rFonts w:ascii="Times New Roman" w:hAnsi="Times New Roman"/>
          <w:i/>
          <w:color w:val="000000"/>
          <w:sz w:val="17"/>
        </w:rPr>
        <w:t>Fig. 24. Training and validation accuracy curves across epochs</w:t>
      </w:r>
    </w:p>
    <w:p>
      <w:pPr>
        <w:spacing w:before="0" w:after="36" w:line="254" w:lineRule="auto"/>
        <w:jc w:val="both"/>
      </w:pPr>
      <w:r>
        <w:rPr>
          <w:rFonts w:ascii="Times New Roman" w:hAnsi="Times New Roman"/>
          <w:b/>
          <w:i w:val="0"/>
          <w:color w:val="000000"/>
          <w:sz w:val="20"/>
        </w:rPr>
        <w:t>Fig. 24. Learning Dynamics: Multi-Class Accuracy Curves Across Training Epochs for the 3-Class Risk Tier Model.</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What it shows:</w:t>
      </w:r>
      <w:r>
        <w:rPr>
          <w:rFonts w:ascii="Times New Roman" w:hAnsi="Times New Roman"/>
          <w:b w:val="0"/>
          <w:i w:val="0"/>
          <w:color w:val="000000"/>
          <w:sz w:val="19"/>
        </w:rPr>
        <w:t xml:space="preserve"> Fig. 24 illustrates the classification accuracy trajectory across training epochs for the 3-class academic attainment task (</w:t>
      </w:r>
      <w:r>
        <w:rPr>
          <w:rFonts w:ascii="Consolas" w:hAnsi="Consolas"/>
          <w:b w:val="0"/>
          <w:i w:val="0"/>
          <w:color w:val="1E293B"/>
          <w:sz w:val="16"/>
        </w:rPr>
        <w:t>Low</w:t>
      </w:r>
      <w:r>
        <w:rPr>
          <w:rFonts w:ascii="Times New Roman" w:hAnsi="Times New Roman"/>
          <w:b w:val="0"/>
          <w:i w:val="0"/>
          <w:color w:val="000000"/>
          <w:sz w:val="19"/>
        </w:rPr>
        <w:t xml:space="preserve">, </w:t>
      </w:r>
      <w:r>
        <w:rPr>
          <w:rFonts w:ascii="Consolas" w:hAnsi="Consolas"/>
          <w:b w:val="0"/>
          <w:i w:val="0"/>
          <w:color w:val="1E293B"/>
          <w:sz w:val="16"/>
        </w:rPr>
        <w:t>Medium</w:t>
      </w:r>
      <w:r>
        <w:rPr>
          <w:rFonts w:ascii="Times New Roman" w:hAnsi="Times New Roman"/>
          <w:b w:val="0"/>
          <w:i w:val="0"/>
          <w:color w:val="000000"/>
          <w:sz w:val="19"/>
        </w:rPr>
        <w:t xml:space="preserve">, </w:t>
      </w:r>
      <w:r>
        <w:rPr>
          <w:rFonts w:ascii="Consolas" w:hAnsi="Consolas"/>
          <w:b w:val="0"/>
          <w:i w:val="0"/>
          <w:color w:val="1E293B"/>
          <w:sz w:val="16"/>
        </w:rPr>
        <w:t>High</w:t>
      </w:r>
      <w:r>
        <w:rPr>
          <w:rFonts w:ascii="Times New Roman" w:hAnsi="Times New Roman"/>
          <w:b w:val="0"/>
          <w:i w:val="0"/>
          <w:color w:val="000000"/>
          <w:sz w:val="19"/>
        </w:rPr>
        <w:t>). Training accuracy is displayed as a solid teal line, while validation accuracy is traced as a dashed amber line.</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Why it was created:</w:t>
      </w:r>
      <w:r>
        <w:rPr>
          <w:rFonts w:ascii="Times New Roman" w:hAnsi="Times New Roman"/>
          <w:b w:val="0"/>
          <w:i w:val="0"/>
          <w:color w:val="000000"/>
          <w:sz w:val="19"/>
        </w:rPr>
        <w:t xml:space="preserve"> Accuracy curves reveal the rate at which decision boundaries form during backpropagation and diagnose whether learning stalls early or oscillates unstably across batches.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Insights:</w:t>
      </w:r>
    </w:p>
    <w:p>
      <w:pPr>
        <w:spacing w:before="0" w:after="20" w:line="254" w:lineRule="auto"/>
        <w:ind w:left="518" w:hanging="173"/>
        <w:jc w:val="both"/>
      </w:pPr>
      <w:r>
        <w:rPr>
          <w:rFonts w:ascii="Times New Roman" w:hAnsi="Times New Roman"/>
          <w:b/>
          <w:color w:val="1F4E78"/>
          <w:sz w:val="19"/>
        </w:rPr>
        <w:t xml:space="preserve">1. </w:t>
      </w:r>
      <w:r>
        <w:rPr>
          <w:rFonts w:ascii="Times New Roman" w:hAnsi="Times New Roman"/>
          <w:b w:val="0"/>
          <w:i w:val="0"/>
          <w:color w:val="000000"/>
          <w:sz w:val="19"/>
        </w:rPr>
        <w:t>Training accuracy rises rapidly from an initial baseline of 37.6% (approximating random chance on the weighted prior) to exceed 70% by epoch 20, eventually plateauing near 83.2%.</w:t>
      </w:r>
    </w:p>
    <w:p>
      <w:pPr>
        <w:spacing w:before="0" w:after="20" w:line="254" w:lineRule="auto"/>
        <w:ind w:left="518" w:hanging="173"/>
        <w:jc w:val="both"/>
      </w:pPr>
      <w:r>
        <w:rPr>
          <w:rFonts w:ascii="Times New Roman" w:hAnsi="Times New Roman"/>
          <w:b/>
          <w:color w:val="1F4E78"/>
          <w:sz w:val="19"/>
        </w:rPr>
        <w:t xml:space="preserve">2. </w:t>
      </w:r>
      <w:r>
        <w:rPr>
          <w:rFonts w:ascii="Times New Roman" w:hAnsi="Times New Roman"/>
          <w:b w:val="0"/>
          <w:i w:val="0"/>
          <w:color w:val="000000"/>
          <w:sz w:val="19"/>
        </w:rPr>
        <w:t>Validation accuracy achieves 54.5% within 15 epochs and reaches a peak of 63.6% at the selected checkpoint, tracking the macro-level structure of the training curve.</w:t>
      </w:r>
    </w:p>
    <w:p>
      <w:pPr>
        <w:spacing w:before="0" w:after="20" w:line="254" w:lineRule="auto"/>
        <w:ind w:left="518" w:hanging="173"/>
        <w:jc w:val="both"/>
      </w:pPr>
      <w:r>
        <w:rPr>
          <w:rFonts w:ascii="Times New Roman" w:hAnsi="Times New Roman"/>
          <w:b/>
          <w:color w:val="1F4E78"/>
          <w:sz w:val="19"/>
        </w:rPr>
        <w:t xml:space="preserve">3. </w:t>
      </w:r>
      <w:r>
        <w:rPr>
          <w:rFonts w:ascii="Times New Roman" w:hAnsi="Times New Roman"/>
          <w:b w:val="0"/>
          <w:i w:val="0"/>
          <w:color w:val="000000"/>
          <w:sz w:val="19"/>
        </w:rPr>
        <w:t xml:space="preserve">The </w:t>
      </w:r>
      <w:r>
        <w:rPr>
          <w:rFonts w:ascii="Consolas" w:hAnsi="Consolas"/>
          <w:b w:val="0"/>
          <w:i w:val="0"/>
          <w:color w:val="1E293B"/>
          <w:sz w:val="16"/>
        </w:rPr>
        <w:t>ReduceLROnPlateau</w:t>
      </w:r>
      <w:r>
        <w:rPr>
          <w:rFonts w:ascii="Times New Roman" w:hAnsi="Times New Roman"/>
          <w:b w:val="0"/>
          <w:i w:val="0"/>
          <w:color w:val="000000"/>
          <w:sz w:val="19"/>
        </w:rPr>
        <w:t xml:space="preserve"> scheduler halved the learning rate from 1.0 × 10^{-3} to 5.0 × 10^{-4} around epoch 40, damping oscillations in validation accuracy and ensuring smooth asymptotic convergence.</w:t>
      </w:r>
    </w:p>
    <w:p>
      <w:pPr>
        <w:keepNext/>
        <w:spacing w:before="60" w:after="20"/>
      </w:pPr>
      <w:r>
        <w:rPr>
          <w:rFonts w:ascii="Times New Roman" w:hAnsi="Times New Roman"/>
          <w:b/>
          <w:i/>
          <w:color w:val="555555"/>
          <w:sz w:val="19"/>
        </w:rPr>
        <w:t>What this conveys about model performance</w:t>
      </w:r>
    </w:p>
    <w:p>
      <w:pPr>
        <w:spacing w:before="0" w:after="36" w:line="254" w:lineRule="auto"/>
        <w:jc w:val="both"/>
      </w:pPr>
      <w:r>
        <w:rPr>
          <w:rFonts w:ascii="Times New Roman" w:hAnsi="Times New Roman"/>
          <w:b w:val="0"/>
          <w:i w:val="0"/>
          <w:color w:val="000000"/>
          <w:sz w:val="20"/>
        </w:rPr>
        <w:t>The accuracy trajectory confirms that the deep learning model extracted generalizable discriminative patterns within the first 35 epochs. The plateau in validation accuracy between 55% and 64% accurately reflects the upper bound of linear and non-linear separability achievable when predicting multi-class academic outcomes from survey indicators without continuous assessment data.</w:t>
      </w:r>
    </w:p>
    <w:p>
      <w:pPr>
        <w:pStyle w:val="Heading2"/>
        <w:keepNext/>
        <w:spacing w:before="120" w:after="30"/>
      </w:pPr>
      <w:r>
        <w:rPr>
          <w:rFonts w:ascii="Times New Roman" w:hAnsi="Times New Roman"/>
          <w:b/>
          <w:color w:val="1F4E78"/>
          <w:sz w:val="20"/>
        </w:rPr>
        <w:t>7.2 Classification Diagnostics and Error Partitioning</w:t>
      </w:r>
    </w:p>
    <w:p>
      <w:pPr>
        <w:pStyle w:val="Heading3"/>
        <w:keepNext/>
        <w:spacing w:before="80" w:after="20"/>
      </w:pPr>
      <w:r>
        <w:rPr>
          <w:rFonts w:ascii="Times New Roman" w:hAnsi="Times New Roman"/>
          <w:b/>
          <w:color w:val="2B547E"/>
          <w:sz w:val="19"/>
        </w:rPr>
        <w:t>7.2.1 Three-Class Academic Risk Matrix (Fig. 25)</w:t>
      </w:r>
    </w:p>
    <w:p>
      <w:pPr>
        <w:keepNext/>
        <w:spacing w:before="50" w:after="20"/>
        <w:jc w:val="center"/>
      </w:pPr>
      <w:r>
        <w:drawing>
          <wp:inline xmlns:a="http://schemas.openxmlformats.org/drawingml/2006/main" xmlns:pic="http://schemas.openxmlformats.org/drawingml/2006/picture">
            <wp:extent cx="3520440" cy="1443127"/>
            <wp:docPr id="28" name="Picture 28"/>
            <wp:cNvGraphicFramePr>
              <a:graphicFrameLocks noChangeAspect="1"/>
            </wp:cNvGraphicFramePr>
            <a:graphic>
              <a:graphicData uri="http://schemas.openxmlformats.org/drawingml/2006/picture">
                <pic:pic>
                  <pic:nvPicPr>
                    <pic:cNvPr id="0" name="fig25_confusion_matrix_3class.png"/>
                    <pic:cNvPicPr/>
                  </pic:nvPicPr>
                  <pic:blipFill>
                    <a:blip r:embed="rId37"/>
                    <a:stretch>
                      <a:fillRect/>
                    </a:stretch>
                  </pic:blipFill>
                  <pic:spPr>
                    <a:xfrm>
                      <a:off x="0" y="0"/>
                      <a:ext cx="3520440" cy="1443127"/>
                    </a:xfrm>
                    <a:prstGeom prst="rect"/>
                  </pic:spPr>
                </pic:pic>
              </a:graphicData>
            </a:graphic>
          </wp:inline>
        </w:drawing>
      </w:r>
    </w:p>
    <w:p>
      <w:pPr>
        <w:keepNext/>
        <w:spacing w:before="10" w:after="40"/>
        <w:jc w:val="center"/>
      </w:pPr>
      <w:r>
        <w:rPr>
          <w:rFonts w:ascii="Times New Roman" w:hAnsi="Times New Roman"/>
          <w:i/>
          <w:color w:val="000000"/>
          <w:sz w:val="17"/>
        </w:rPr>
        <w:t>Fig. 25. 3-class risk-tier confusion matrix (raw counts and row-normalised recall)</w:t>
      </w:r>
    </w:p>
    <w:p>
      <w:pPr>
        <w:spacing w:before="0" w:after="36" w:line="254" w:lineRule="auto"/>
        <w:jc w:val="both"/>
      </w:pPr>
      <w:r>
        <w:rPr>
          <w:rFonts w:ascii="Times New Roman" w:hAnsi="Times New Roman"/>
          <w:b/>
          <w:i w:val="0"/>
          <w:color w:val="000000"/>
          <w:sz w:val="20"/>
        </w:rPr>
        <w:t>Fig. 25. Multilayer Perceptron Classification Diagnostics: 3-Class Academic Risk Confusion Matrix.</w:t>
      </w:r>
      <w:r>
        <w:rPr>
          <w:rFonts w:ascii="Times New Roman" w:hAnsi="Times New Roman"/>
          <w:b w:val="0"/>
          <w:i w:val="0"/>
          <w:color w:val="000000"/>
          <w:sz w:val="20"/>
        </w:rPr>
        <w:t xml:space="preserve"> Left panel: raw classification counts on the independent holdout test set (n = 22). Right panel: row-normalized matrix reflecting class sensitivity (recall).</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What it shows:</w:t>
      </w:r>
      <w:r>
        <w:rPr>
          <w:rFonts w:ascii="Times New Roman" w:hAnsi="Times New Roman"/>
          <w:b w:val="0"/>
          <w:i w:val="0"/>
          <w:color w:val="000000"/>
          <w:sz w:val="19"/>
        </w:rPr>
        <w:t xml:space="preserve"> Fig. 25 presents a dual-panel confusion matrix diagnostic for the independent holdout test partition (n = 22, representing 15.2% of the total cohort). The left heatmap displays integer student counts, while the right heatmap displays row-normalised values corresponding to class-specific recall rates.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Why it was created:</w:t>
      </w:r>
      <w:r>
        <w:rPr>
          <w:rFonts w:ascii="Times New Roman" w:hAnsi="Times New Roman"/>
          <w:b w:val="0"/>
          <w:i w:val="0"/>
          <w:color w:val="000000"/>
          <w:sz w:val="19"/>
        </w:rPr>
        <w:t xml:space="preserve"> In academic advising, raw accuracy can mask catastrophic asymmetrical errors (e.g., classifying a failing student as high-achieving). Visualising raw counts alongside recall rates is essential to evaluate whether the model satisfies safety requirements for early intervention.</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Insights:</w:t>
      </w:r>
    </w:p>
    <w:p>
      <w:pPr>
        <w:spacing w:before="0" w:after="20" w:line="254" w:lineRule="auto"/>
        <w:ind w:left="518" w:hanging="173"/>
        <w:jc w:val="both"/>
      </w:pPr>
      <w:r>
        <w:rPr>
          <w:rFonts w:ascii="Times New Roman" w:hAnsi="Times New Roman"/>
          <w:b/>
          <w:color w:val="1F4E78"/>
          <w:sz w:val="19"/>
        </w:rPr>
        <w:t xml:space="preserve">1. </w:t>
      </w:r>
      <w:r>
        <w:rPr>
          <w:rFonts w:ascii="Times New Roman" w:hAnsi="Times New Roman"/>
          <w:b w:val="0"/>
          <w:i w:val="0"/>
          <w:color w:val="000000"/>
          <w:sz w:val="19"/>
        </w:rPr>
        <w:t xml:space="preserve">In the </w:t>
      </w:r>
      <w:r>
        <w:rPr>
          <w:rFonts w:ascii="Consolas" w:hAnsi="Consolas"/>
          <w:b w:val="0"/>
          <w:i w:val="0"/>
          <w:color w:val="1E293B"/>
          <w:sz w:val="16"/>
        </w:rPr>
        <w:t>High Attainment</w:t>
      </w:r>
      <w:r>
        <w:rPr>
          <w:rFonts w:ascii="Times New Roman" w:hAnsi="Times New Roman"/>
          <w:b w:val="0"/>
          <w:i w:val="0"/>
          <w:color w:val="000000"/>
          <w:sz w:val="19"/>
        </w:rPr>
        <w:t xml:space="preserve"> tier (Grades 5--7 / BB--AA), the model achieves exceptional sensitivity of 85.7% (6 out of 7 test students correctly classified; only 1 student misclassified into the Medium tier).</w:t>
      </w:r>
    </w:p>
    <w:p>
      <w:pPr>
        <w:spacing w:before="0" w:after="20" w:line="254" w:lineRule="auto"/>
        <w:ind w:left="518" w:hanging="173"/>
        <w:jc w:val="both"/>
      </w:pPr>
      <w:r>
        <w:rPr>
          <w:rFonts w:ascii="Times New Roman" w:hAnsi="Times New Roman"/>
          <w:b/>
          <w:color w:val="1F4E78"/>
          <w:sz w:val="19"/>
        </w:rPr>
        <w:t xml:space="preserve">2. </w:t>
      </w:r>
      <w:r>
        <w:rPr>
          <w:rFonts w:ascii="Times New Roman" w:hAnsi="Times New Roman"/>
          <w:b w:val="0"/>
          <w:i w:val="0"/>
          <w:color w:val="000000"/>
          <w:sz w:val="19"/>
        </w:rPr>
        <w:t xml:space="preserve">In the </w:t>
      </w:r>
      <w:r>
        <w:rPr>
          <w:rFonts w:ascii="Consolas" w:hAnsi="Consolas"/>
          <w:b w:val="0"/>
          <w:i w:val="0"/>
          <w:color w:val="1E293B"/>
          <w:sz w:val="16"/>
        </w:rPr>
        <w:t>Low Attainment</w:t>
      </w:r>
      <w:r>
        <w:rPr>
          <w:rFonts w:ascii="Times New Roman" w:hAnsi="Times New Roman"/>
          <w:b w:val="0"/>
          <w:i w:val="0"/>
          <w:color w:val="000000"/>
          <w:sz w:val="19"/>
        </w:rPr>
        <w:t xml:space="preserve"> risk tier (Grades 0--2 / Fail--DC), the model achieves a sensitivity of 60.0% (6 out of 10 students correctly identified). Crucially, none of the 10 Low tier students were erroneously predicted into the High tier; all misclassifications were assigned to the adjacent Medium tier.</w:t>
      </w:r>
    </w:p>
    <w:p>
      <w:pPr>
        <w:spacing w:before="0" w:after="20" w:line="254" w:lineRule="auto"/>
        <w:ind w:left="518" w:hanging="173"/>
        <w:jc w:val="both"/>
      </w:pPr>
      <w:r>
        <w:rPr>
          <w:rFonts w:ascii="Times New Roman" w:hAnsi="Times New Roman"/>
          <w:b/>
          <w:color w:val="1F4E78"/>
          <w:sz w:val="19"/>
        </w:rPr>
        <w:t xml:space="preserve">3. </w:t>
      </w:r>
      <w:r>
        <w:rPr>
          <w:rFonts w:ascii="Times New Roman" w:hAnsi="Times New Roman"/>
          <w:b w:val="0"/>
          <w:i w:val="0"/>
          <w:color w:val="000000"/>
          <w:sz w:val="19"/>
        </w:rPr>
        <w:t xml:space="preserve">The </w:t>
      </w:r>
      <w:r>
        <w:rPr>
          <w:rFonts w:ascii="Consolas" w:hAnsi="Consolas"/>
          <w:b w:val="0"/>
          <w:i w:val="0"/>
          <w:color w:val="1E293B"/>
          <w:sz w:val="16"/>
        </w:rPr>
        <w:t>Medium Attainment</w:t>
      </w:r>
      <w:r>
        <w:rPr>
          <w:rFonts w:ascii="Times New Roman" w:hAnsi="Times New Roman"/>
          <w:b w:val="0"/>
          <w:i w:val="0"/>
          <w:color w:val="000000"/>
          <w:sz w:val="19"/>
        </w:rPr>
        <w:t xml:space="preserve"> tier (Grades 3--4 / CC--CB) proved the most challenging, with a sensitivity of 60.0% (3 out of 5 correct), with misclassifications distributed symmetrically to the Low (1 student) and High (1 student) tiers.</w:t>
      </w:r>
    </w:p>
    <w:p>
      <w:pPr>
        <w:keepNext/>
        <w:spacing w:before="60" w:after="20"/>
      </w:pPr>
      <w:r>
        <w:rPr>
          <w:rFonts w:ascii="Times New Roman" w:hAnsi="Times New Roman"/>
          <w:b/>
          <w:i/>
          <w:color w:val="555555"/>
          <w:sz w:val="19"/>
        </w:rPr>
        <w:t>What this conveys about model performance</w:t>
      </w:r>
    </w:p>
    <w:p>
      <w:pPr>
        <w:spacing w:before="0" w:after="36" w:line="254" w:lineRule="auto"/>
        <w:jc w:val="both"/>
      </w:pPr>
      <w:r>
        <w:rPr>
          <w:rFonts w:ascii="Times New Roman" w:hAnsi="Times New Roman"/>
          <w:b w:val="0"/>
          <w:i w:val="0"/>
          <w:color w:val="000000"/>
          <w:sz w:val="20"/>
        </w:rPr>
        <w:t>The confusion matrix confirms that the model's errors are strictly localized to adjacent academic tiers. Zero extreme errors occurred (no Low-to-High or High-to-Low confusions). In the context of an academic decision support system, this property is vital: an advisor using this model will never mistake an at-risk student for an honors student. The higher sensitivity on the High tier (85.7%) reflects the sharp demarcation of high GPA and attendance profiles, whereas Medium students represent a fluid transition zone.</w:t>
      </w:r>
    </w:p>
    <w:p>
      <w:pPr>
        <w:pStyle w:val="Heading3"/>
        <w:keepNext/>
        <w:spacing w:before="80" w:after="20"/>
      </w:pPr>
      <w:r>
        <w:rPr>
          <w:rFonts w:ascii="Times New Roman" w:hAnsi="Times New Roman"/>
          <w:b/>
          <w:color w:val="2B547E"/>
          <w:sz w:val="19"/>
        </w:rPr>
        <w:t>7.2.2 Granular Eight-Class Letter Grade Confusion Matrix (Fig. 26)</w:t>
      </w:r>
    </w:p>
    <w:p>
      <w:pPr>
        <w:keepNext/>
        <w:spacing w:before="50" w:after="20"/>
        <w:jc w:val="center"/>
      </w:pPr>
      <w:r>
        <w:drawing>
          <wp:inline xmlns:a="http://schemas.openxmlformats.org/drawingml/2006/main" xmlns:pic="http://schemas.openxmlformats.org/drawingml/2006/picture">
            <wp:extent cx="3520440" cy="2899186"/>
            <wp:docPr id="29" name="Picture 29"/>
            <wp:cNvGraphicFramePr>
              <a:graphicFrameLocks noChangeAspect="1"/>
            </wp:cNvGraphicFramePr>
            <a:graphic>
              <a:graphicData uri="http://schemas.openxmlformats.org/drawingml/2006/picture">
                <pic:pic>
                  <pic:nvPicPr>
                    <pic:cNvPr id="0" name="fig26_confusion_matrix_8class.png"/>
                    <pic:cNvPicPr/>
                  </pic:nvPicPr>
                  <pic:blipFill>
                    <a:blip r:embed="rId38"/>
                    <a:stretch>
                      <a:fillRect/>
                    </a:stretch>
                  </pic:blipFill>
                  <pic:spPr>
                    <a:xfrm>
                      <a:off x="0" y="0"/>
                      <a:ext cx="3520440" cy="2899186"/>
                    </a:xfrm>
                    <a:prstGeom prst="rect"/>
                  </pic:spPr>
                </pic:pic>
              </a:graphicData>
            </a:graphic>
          </wp:inline>
        </w:drawing>
      </w:r>
    </w:p>
    <w:p>
      <w:pPr>
        <w:keepNext/>
        <w:spacing w:before="10" w:after="40"/>
        <w:jc w:val="center"/>
      </w:pPr>
      <w:r>
        <w:rPr>
          <w:rFonts w:ascii="Times New Roman" w:hAnsi="Times New Roman"/>
          <w:i/>
          <w:color w:val="000000"/>
          <w:sz w:val="17"/>
        </w:rPr>
        <w:t>Fig. 26. 8-class fine-grained letter grade confusion matrix</w:t>
      </w:r>
    </w:p>
    <w:p>
      <w:pPr>
        <w:spacing w:before="0" w:after="36" w:line="254" w:lineRule="auto"/>
        <w:jc w:val="both"/>
      </w:pPr>
      <w:r>
        <w:rPr>
          <w:rFonts w:ascii="Times New Roman" w:hAnsi="Times New Roman"/>
          <w:b/>
          <w:i w:val="0"/>
          <w:color w:val="000000"/>
          <w:sz w:val="20"/>
        </w:rPr>
        <w:t>Fig. 26. Granular 8-Class Letter Grade Confusion Matrix (Fail through AA) on Holdout Test Data (n = 22).</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What it shows:</w:t>
      </w:r>
      <w:r>
        <w:rPr>
          <w:rFonts w:ascii="Times New Roman" w:hAnsi="Times New Roman"/>
          <w:b w:val="0"/>
          <w:i w:val="0"/>
          <w:color w:val="000000"/>
          <w:sz w:val="19"/>
        </w:rPr>
        <w:t xml:space="preserve"> Fig. 26 displays an 8 × 8 confusion matrix evaluating the fine-grained neural network trained to predict exact letter grades (</w:t>
      </w:r>
      <w:r>
        <w:rPr>
          <w:rFonts w:ascii="Consolas" w:hAnsi="Consolas"/>
          <w:b w:val="0"/>
          <w:i w:val="0"/>
          <w:color w:val="1E293B"/>
          <w:sz w:val="16"/>
        </w:rPr>
        <w:t>Fail</w:t>
      </w:r>
      <w:r>
        <w:rPr>
          <w:rFonts w:ascii="Times New Roman" w:hAnsi="Times New Roman"/>
          <w:b w:val="0"/>
          <w:i w:val="0"/>
          <w:color w:val="000000"/>
          <w:sz w:val="19"/>
        </w:rPr>
        <w:t xml:space="preserve">, </w:t>
      </w:r>
      <w:r>
        <w:rPr>
          <w:rFonts w:ascii="Consolas" w:hAnsi="Consolas"/>
          <w:b w:val="0"/>
          <w:i w:val="0"/>
          <w:color w:val="1E293B"/>
          <w:sz w:val="16"/>
        </w:rPr>
        <w:t>DD</w:t>
      </w:r>
      <w:r>
        <w:rPr>
          <w:rFonts w:ascii="Times New Roman" w:hAnsi="Times New Roman"/>
          <w:b w:val="0"/>
          <w:i w:val="0"/>
          <w:color w:val="000000"/>
          <w:sz w:val="19"/>
        </w:rPr>
        <w:t xml:space="preserve">, </w:t>
      </w:r>
      <w:r>
        <w:rPr>
          <w:rFonts w:ascii="Consolas" w:hAnsi="Consolas"/>
          <w:b w:val="0"/>
          <w:i w:val="0"/>
          <w:color w:val="1E293B"/>
          <w:sz w:val="16"/>
        </w:rPr>
        <w:t>DC</w:t>
      </w:r>
      <w:r>
        <w:rPr>
          <w:rFonts w:ascii="Times New Roman" w:hAnsi="Times New Roman"/>
          <w:b w:val="0"/>
          <w:i w:val="0"/>
          <w:color w:val="000000"/>
          <w:sz w:val="19"/>
        </w:rPr>
        <w:t xml:space="preserve">, </w:t>
      </w:r>
      <w:r>
        <w:rPr>
          <w:rFonts w:ascii="Consolas" w:hAnsi="Consolas"/>
          <w:b w:val="0"/>
          <w:i w:val="0"/>
          <w:color w:val="1E293B"/>
          <w:sz w:val="16"/>
        </w:rPr>
        <w:t>CC</w:t>
      </w:r>
      <w:r>
        <w:rPr>
          <w:rFonts w:ascii="Times New Roman" w:hAnsi="Times New Roman"/>
          <w:b w:val="0"/>
          <w:i w:val="0"/>
          <w:color w:val="000000"/>
          <w:sz w:val="19"/>
        </w:rPr>
        <w:t xml:space="preserve">, </w:t>
      </w:r>
      <w:r>
        <w:rPr>
          <w:rFonts w:ascii="Consolas" w:hAnsi="Consolas"/>
          <w:b w:val="0"/>
          <w:i w:val="0"/>
          <w:color w:val="1E293B"/>
          <w:sz w:val="16"/>
        </w:rPr>
        <w:t>CB</w:t>
      </w:r>
      <w:r>
        <w:rPr>
          <w:rFonts w:ascii="Times New Roman" w:hAnsi="Times New Roman"/>
          <w:b w:val="0"/>
          <w:i w:val="0"/>
          <w:color w:val="000000"/>
          <w:sz w:val="19"/>
        </w:rPr>
        <w:t xml:space="preserve">, </w:t>
      </w:r>
      <w:r>
        <w:rPr>
          <w:rFonts w:ascii="Consolas" w:hAnsi="Consolas"/>
          <w:b w:val="0"/>
          <w:i w:val="0"/>
          <w:color w:val="1E293B"/>
          <w:sz w:val="16"/>
        </w:rPr>
        <w:t>BB</w:t>
      </w:r>
      <w:r>
        <w:rPr>
          <w:rFonts w:ascii="Times New Roman" w:hAnsi="Times New Roman"/>
          <w:b w:val="0"/>
          <w:i w:val="0"/>
          <w:color w:val="000000"/>
          <w:sz w:val="19"/>
        </w:rPr>
        <w:t xml:space="preserve">, </w:t>
      </w:r>
      <w:r>
        <w:rPr>
          <w:rFonts w:ascii="Consolas" w:hAnsi="Consolas"/>
          <w:b w:val="0"/>
          <w:i w:val="0"/>
          <w:color w:val="1E293B"/>
          <w:sz w:val="16"/>
        </w:rPr>
        <w:t>BA</w:t>
      </w:r>
      <w:r>
        <w:rPr>
          <w:rFonts w:ascii="Times New Roman" w:hAnsi="Times New Roman"/>
          <w:b w:val="0"/>
          <w:i w:val="0"/>
          <w:color w:val="000000"/>
          <w:sz w:val="19"/>
        </w:rPr>
        <w:t xml:space="preserve">, </w:t>
      </w:r>
      <w:r>
        <w:rPr>
          <w:rFonts w:ascii="Consolas" w:hAnsi="Consolas"/>
          <w:b w:val="0"/>
          <w:i w:val="0"/>
          <w:color w:val="1E293B"/>
          <w:sz w:val="16"/>
        </w:rPr>
        <w:t>AA</w:t>
      </w:r>
      <w:r>
        <w:rPr>
          <w:rFonts w:ascii="Times New Roman" w:hAnsi="Times New Roman"/>
          <w:b w:val="0"/>
          <w:i w:val="0"/>
          <w:color w:val="000000"/>
          <w:sz w:val="19"/>
        </w:rPr>
        <w:t>). Cells are color-coded by prediction frequency using an orange sequential palette.</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Why it was created:</w:t>
      </w:r>
      <w:r>
        <w:rPr>
          <w:rFonts w:ascii="Times New Roman" w:hAnsi="Times New Roman"/>
          <w:b w:val="0"/>
          <w:i w:val="0"/>
          <w:color w:val="000000"/>
          <w:sz w:val="19"/>
        </w:rPr>
        <w:t xml:space="preserve"> While 3-class risk pooling is operationally practical for advising, university registrars require exact letter grade forecasts. This visual diagnoses how fine-grained classification behaves when sample sizes per class are severely constrained.</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Insights:</w:t>
      </w:r>
    </w:p>
    <w:p>
      <w:pPr>
        <w:spacing w:before="0" w:after="20" w:line="254" w:lineRule="auto"/>
        <w:ind w:left="518" w:hanging="173"/>
        <w:jc w:val="both"/>
      </w:pPr>
      <w:r>
        <w:rPr>
          <w:rFonts w:ascii="Times New Roman" w:hAnsi="Times New Roman"/>
          <w:b/>
          <w:color w:val="1F4E78"/>
          <w:sz w:val="19"/>
        </w:rPr>
        <w:t xml:space="preserve">1. </w:t>
      </w:r>
      <w:r>
        <w:rPr>
          <w:rFonts w:ascii="Times New Roman" w:hAnsi="Times New Roman"/>
          <w:b w:val="0"/>
          <w:i w:val="0"/>
          <w:color w:val="000000"/>
          <w:sz w:val="19"/>
        </w:rPr>
        <w:t>The exact 8-class classification accuracy on the holdout test set is 27.3% (6 exact matches out of 22).</w:t>
      </w:r>
    </w:p>
    <w:p>
      <w:pPr>
        <w:spacing w:before="0" w:after="20" w:line="254" w:lineRule="auto"/>
        <w:ind w:left="518" w:hanging="173"/>
        <w:jc w:val="both"/>
      </w:pPr>
      <w:r>
        <w:rPr>
          <w:rFonts w:ascii="Times New Roman" w:hAnsi="Times New Roman"/>
          <w:b/>
          <w:color w:val="1F4E78"/>
          <w:sz w:val="19"/>
        </w:rPr>
        <w:t xml:space="preserve">2. </w:t>
      </w:r>
      <w:r>
        <w:rPr>
          <w:rFonts w:ascii="Times New Roman" w:hAnsi="Times New Roman"/>
          <w:b w:val="0"/>
          <w:i w:val="0"/>
          <w:color w:val="000000"/>
          <w:sz w:val="19"/>
        </w:rPr>
        <w:t xml:space="preserve">Off-diagonal prediction errors are tightly concentrated immediately adjacent to the main diagonal: 36.4% of all predictions fall within ± 1 letter grade step (e.g., predicting </w:t>
      </w:r>
      <w:r>
        <w:rPr>
          <w:rFonts w:ascii="Consolas" w:hAnsi="Consolas"/>
          <w:b w:val="0"/>
          <w:i w:val="0"/>
          <w:color w:val="1E293B"/>
          <w:sz w:val="16"/>
        </w:rPr>
        <w:t>DD</w:t>
      </w:r>
      <w:r>
        <w:rPr>
          <w:rFonts w:ascii="Times New Roman" w:hAnsi="Times New Roman"/>
          <w:b w:val="0"/>
          <w:i w:val="0"/>
          <w:color w:val="000000"/>
          <w:sz w:val="19"/>
        </w:rPr>
        <w:t xml:space="preserve"> for a </w:t>
      </w:r>
      <w:r>
        <w:rPr>
          <w:rFonts w:ascii="Consolas" w:hAnsi="Consolas"/>
          <w:b w:val="0"/>
          <w:i w:val="0"/>
          <w:color w:val="1E293B"/>
          <w:sz w:val="16"/>
        </w:rPr>
        <w:t>DC</w:t>
      </w:r>
      <w:r>
        <w:rPr>
          <w:rFonts w:ascii="Times New Roman" w:hAnsi="Times New Roman"/>
          <w:b w:val="0"/>
          <w:i w:val="0"/>
          <w:color w:val="000000"/>
          <w:sz w:val="19"/>
        </w:rPr>
        <w:t xml:space="preserve"> student).</w:t>
      </w:r>
    </w:p>
    <w:p>
      <w:pPr>
        <w:spacing w:before="0" w:after="20" w:line="254" w:lineRule="auto"/>
        <w:ind w:left="518" w:hanging="173"/>
        <w:jc w:val="both"/>
      </w:pPr>
      <w:r>
        <w:rPr>
          <w:rFonts w:ascii="Times New Roman" w:hAnsi="Times New Roman"/>
          <w:b/>
          <w:color w:val="1F4E78"/>
          <w:sz w:val="19"/>
        </w:rPr>
        <w:t xml:space="preserve">3. </w:t>
      </w:r>
      <w:r>
        <w:rPr>
          <w:rFonts w:ascii="Times New Roman" w:hAnsi="Times New Roman"/>
          <w:b w:val="0"/>
          <w:i w:val="0"/>
          <w:color w:val="000000"/>
          <w:sz w:val="19"/>
        </w:rPr>
        <w:t xml:space="preserve">Performance is highest on the modal category </w:t>
      </w:r>
      <w:r>
        <w:rPr>
          <w:rFonts w:ascii="Consolas" w:hAnsi="Consolas"/>
          <w:b w:val="0"/>
          <w:i w:val="0"/>
          <w:color w:val="1E293B"/>
          <w:sz w:val="16"/>
        </w:rPr>
        <w:t>DD</w:t>
      </w:r>
      <w:r>
        <w:rPr>
          <w:rFonts w:ascii="Times New Roman" w:hAnsi="Times New Roman"/>
          <w:b w:val="0"/>
          <w:i w:val="0"/>
          <w:color w:val="000000"/>
          <w:sz w:val="19"/>
        </w:rPr>
        <w:t xml:space="preserve"> (Grade 1) and the honors category </w:t>
      </w:r>
      <w:r>
        <w:rPr>
          <w:rFonts w:ascii="Consolas" w:hAnsi="Consolas"/>
          <w:b w:val="0"/>
          <w:i w:val="0"/>
          <w:color w:val="1E293B"/>
          <w:sz w:val="16"/>
        </w:rPr>
        <w:t>AA</w:t>
      </w:r>
      <w:r>
        <w:rPr>
          <w:rFonts w:ascii="Times New Roman" w:hAnsi="Times New Roman"/>
          <w:b w:val="0"/>
          <w:i w:val="0"/>
          <w:color w:val="000000"/>
          <w:sz w:val="19"/>
        </w:rPr>
        <w:t xml:space="preserve"> (Grade 7), while intermediate grades (</w:t>
      </w:r>
      <w:r>
        <w:rPr>
          <w:rFonts w:ascii="Consolas" w:hAnsi="Consolas"/>
          <w:b w:val="0"/>
          <w:i w:val="0"/>
          <w:color w:val="1E293B"/>
          <w:sz w:val="16"/>
        </w:rPr>
        <w:t>CB</w:t>
      </w:r>
      <w:r>
        <w:rPr>
          <w:rFonts w:ascii="Times New Roman" w:hAnsi="Times New Roman"/>
          <w:b w:val="0"/>
          <w:i w:val="0"/>
          <w:color w:val="000000"/>
          <w:sz w:val="19"/>
        </w:rPr>
        <w:t>, n=10 in full dataset) suffer from acute sample starvation.</w:t>
      </w:r>
    </w:p>
    <w:p>
      <w:pPr>
        <w:keepNext/>
        <w:spacing w:before="60" w:after="20"/>
      </w:pPr>
      <w:r>
        <w:rPr>
          <w:rFonts w:ascii="Times New Roman" w:hAnsi="Times New Roman"/>
          <w:b/>
          <w:i/>
          <w:color w:val="555555"/>
          <w:sz w:val="19"/>
        </w:rPr>
        <w:t>What this conveys about model performance</w:t>
      </w:r>
    </w:p>
    <w:p>
      <w:pPr>
        <w:spacing w:before="0" w:after="36" w:line="254" w:lineRule="auto"/>
        <w:jc w:val="both"/>
      </w:pPr>
      <w:r>
        <w:rPr>
          <w:rFonts w:ascii="Times New Roman" w:hAnsi="Times New Roman"/>
          <w:b w:val="0"/>
          <w:i w:val="0"/>
          <w:color w:val="000000"/>
          <w:sz w:val="20"/>
        </w:rPr>
        <w:t>The 8-class confusion matrix conveys that although exact multi-class classification is statistically under-powered on 145 samples across 8 classes (averaging only 18 samples per class, with Grade 0 having only 8 instances), the neural network preserves ordinal topology. The model does not produce arbitrary misclassifications; errors represent near-misses along an ordinal continuum. This finding justifies the primary operational decision to deploy a 3-tier risk classification for decision-making while treating 8-class outputs as ordinal estimates.</w:t>
      </w:r>
    </w:p>
    <w:p>
      <w:pPr>
        <w:pStyle w:val="Heading2"/>
        <w:keepNext/>
        <w:spacing w:before="120" w:after="30"/>
      </w:pPr>
      <w:r>
        <w:rPr>
          <w:rFonts w:ascii="Times New Roman" w:hAnsi="Times New Roman"/>
          <w:b/>
          <w:color w:val="1F4E78"/>
          <w:sz w:val="20"/>
        </w:rPr>
        <w:t>7.3 Discriminative Power and Precision-Recall Dynamics</w:t>
      </w:r>
    </w:p>
    <w:p>
      <w:pPr>
        <w:pStyle w:val="Heading3"/>
        <w:keepNext/>
        <w:spacing w:before="80" w:after="20"/>
      </w:pPr>
      <w:r>
        <w:rPr>
          <w:rFonts w:ascii="Times New Roman" w:hAnsi="Times New Roman"/>
          <w:b/>
          <w:color w:val="2B547E"/>
          <w:sz w:val="19"/>
        </w:rPr>
        <w:t>7.3.1 Multiclass Receiver Operating Characteristic (ROC) Curves (Fig. 27)</w:t>
      </w:r>
    </w:p>
    <w:p>
      <w:pPr>
        <w:keepNext/>
        <w:spacing w:before="50" w:after="20"/>
        <w:jc w:val="center"/>
      </w:pPr>
      <w:r>
        <w:drawing>
          <wp:inline xmlns:a="http://schemas.openxmlformats.org/drawingml/2006/main" xmlns:pic="http://schemas.openxmlformats.org/drawingml/2006/picture">
            <wp:extent cx="3520440" cy="1383030"/>
            <wp:docPr id="30" name="Picture 30"/>
            <wp:cNvGraphicFramePr>
              <a:graphicFrameLocks noChangeAspect="1"/>
            </wp:cNvGraphicFramePr>
            <a:graphic>
              <a:graphicData uri="http://schemas.openxmlformats.org/drawingml/2006/picture">
                <pic:pic>
                  <pic:nvPicPr>
                    <pic:cNvPr id="0" name="fig27_roc_curves.png"/>
                    <pic:cNvPicPr/>
                  </pic:nvPicPr>
                  <pic:blipFill>
                    <a:blip r:embed="rId39"/>
                    <a:stretch>
                      <a:fillRect/>
                    </a:stretch>
                  </pic:blipFill>
                  <pic:spPr>
                    <a:xfrm>
                      <a:off x="0" y="0"/>
                      <a:ext cx="3520440" cy="1383030"/>
                    </a:xfrm>
                    <a:prstGeom prst="rect"/>
                  </pic:spPr>
                </pic:pic>
              </a:graphicData>
            </a:graphic>
          </wp:inline>
        </w:drawing>
      </w:r>
    </w:p>
    <w:p>
      <w:pPr>
        <w:keepNext/>
        <w:spacing w:before="10" w:after="40"/>
        <w:jc w:val="center"/>
      </w:pPr>
      <w:r>
        <w:rPr>
          <w:rFonts w:ascii="Times New Roman" w:hAnsi="Times New Roman"/>
          <w:i/>
          <w:color w:val="000000"/>
          <w:sz w:val="17"/>
        </w:rPr>
        <w:t>Fig. 27. Multiclass one-vs-rest ROC curves (holdout test set and 5-fold out-of-fold)</w:t>
      </w:r>
    </w:p>
    <w:p>
      <w:pPr>
        <w:spacing w:before="0" w:after="36" w:line="254" w:lineRule="auto"/>
        <w:jc w:val="both"/>
      </w:pPr>
      <w:r>
        <w:rPr>
          <w:rFonts w:ascii="Times New Roman" w:hAnsi="Times New Roman"/>
          <w:b/>
          <w:i w:val="0"/>
          <w:color w:val="000000"/>
          <w:sz w:val="20"/>
        </w:rPr>
        <w:t>Fig. 27. Multiclass One-vs-Rest Receiver Operating Characteristic (ROC) Curves.</w:t>
      </w:r>
      <w:r>
        <w:rPr>
          <w:rFonts w:ascii="Times New Roman" w:hAnsi="Times New Roman"/>
          <w:b w:val="0"/>
          <w:i w:val="0"/>
          <w:color w:val="000000"/>
          <w:sz w:val="20"/>
        </w:rPr>
        <w:t xml:space="preserve"> Left: Holdout test set ROC curves (n = 22, Macro AUC = 0.82). Right: Out-of-Fold 5-fold cross-validated ROC curves (N = 145, Macro AUC = 0.824 +/- 0.048).</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What it shows:</w:t>
      </w:r>
      <w:r>
        <w:rPr>
          <w:rFonts w:ascii="Times New Roman" w:hAnsi="Times New Roman"/>
          <w:b w:val="0"/>
          <w:i w:val="0"/>
          <w:color w:val="000000"/>
          <w:sz w:val="19"/>
        </w:rPr>
        <w:t xml:space="preserve"> Fig. 27 provides a dual-panel ROC analysis using One-vs-Rest (OvR) formulation for the three attainment tiers. Fig. 27A (left) shows the step-function ROC curves on the small holdout test split (n = 22). Fig. 27B (right) plots the out-of-fold cross-validated ROC curves aggregated across all 145 students over the 5-fold CV protocol.</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Why it was created:</w:t>
      </w:r>
      <w:r>
        <w:rPr>
          <w:rFonts w:ascii="Times New Roman" w:hAnsi="Times New Roman"/>
          <w:b w:val="0"/>
          <w:i w:val="0"/>
          <w:color w:val="000000"/>
          <w:sz w:val="19"/>
        </w:rPr>
        <w:t xml:space="preserve"> Evaluating ROC curves solely on a holdout test set of n = 22 produces step-wise artifacts due to low denominator counts. Presenting both holdout and 5-fold out-of-fold curves demonstrates statistical transparency and provides an unbiased estimate of discriminative capacity.</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Insights:</w:t>
      </w:r>
    </w:p>
    <w:p>
      <w:pPr>
        <w:spacing w:before="0" w:after="20" w:line="254" w:lineRule="auto"/>
        <w:ind w:left="518" w:hanging="173"/>
        <w:jc w:val="both"/>
      </w:pPr>
      <w:r>
        <w:rPr>
          <w:rFonts w:ascii="Times New Roman" w:hAnsi="Times New Roman"/>
          <w:b/>
          <w:color w:val="1F4E78"/>
          <w:sz w:val="19"/>
        </w:rPr>
        <w:t xml:space="preserve">1. </w:t>
      </w:r>
      <w:r>
        <w:rPr>
          <w:rFonts w:ascii="Times New Roman" w:hAnsi="Times New Roman"/>
          <w:b w:val="0"/>
          <w:i w:val="0"/>
          <w:color w:val="000000"/>
          <w:sz w:val="19"/>
        </w:rPr>
        <w:t>On the 5-fold cross-validation suite (N = 145), the model achieves an overall Macro-AUC of 0.824 ± 0.048, indicating strong discriminative ability well above the uninformative baseline ({AUC} = 0.50).</w:t>
      </w:r>
    </w:p>
    <w:p>
      <w:pPr>
        <w:spacing w:before="0" w:after="20" w:line="254" w:lineRule="auto"/>
        <w:ind w:left="518" w:hanging="173"/>
        <w:jc w:val="both"/>
      </w:pPr>
      <w:r>
        <w:rPr>
          <w:rFonts w:ascii="Times New Roman" w:hAnsi="Times New Roman"/>
          <w:b/>
          <w:color w:val="1F4E78"/>
          <w:sz w:val="19"/>
        </w:rPr>
        <w:t xml:space="preserve">2. </w:t>
      </w:r>
      <w:r>
        <w:rPr>
          <w:rFonts w:ascii="Times New Roman" w:hAnsi="Times New Roman"/>
          <w:b w:val="0"/>
          <w:i w:val="0"/>
          <w:color w:val="000000"/>
          <w:sz w:val="19"/>
        </w:rPr>
        <w:t xml:space="preserve">The </w:t>
      </w:r>
      <w:r>
        <w:rPr>
          <w:rFonts w:ascii="Consolas" w:hAnsi="Consolas"/>
          <w:b w:val="0"/>
          <w:i w:val="0"/>
          <w:color w:val="1E293B"/>
          <w:sz w:val="16"/>
        </w:rPr>
        <w:t>High Attainment</w:t>
      </w:r>
      <w:r>
        <w:rPr>
          <w:rFonts w:ascii="Times New Roman" w:hAnsi="Times New Roman"/>
          <w:b w:val="0"/>
          <w:i w:val="0"/>
          <w:color w:val="000000"/>
          <w:sz w:val="19"/>
        </w:rPr>
        <w:t xml:space="preserve"> tier exhibits the strongest discriminative performance with an individual {AUC} = 0.88, followed by </w:t>
      </w:r>
      <w:r>
        <w:rPr>
          <w:rFonts w:ascii="Consolas" w:hAnsi="Consolas"/>
          <w:b w:val="0"/>
          <w:i w:val="0"/>
          <w:color w:val="1E293B"/>
          <w:sz w:val="16"/>
        </w:rPr>
        <w:t>Low Attainment</w:t>
      </w:r>
      <w:r>
        <w:rPr>
          <w:rFonts w:ascii="Times New Roman" w:hAnsi="Times New Roman"/>
          <w:b w:val="0"/>
          <w:i w:val="0"/>
          <w:color w:val="000000"/>
          <w:sz w:val="19"/>
        </w:rPr>
        <w:t xml:space="preserve"> ({AUC} = 0.82).</w:t>
      </w:r>
    </w:p>
    <w:p>
      <w:pPr>
        <w:spacing w:before="0" w:after="20" w:line="254" w:lineRule="auto"/>
        <w:ind w:left="518" w:hanging="173"/>
        <w:jc w:val="both"/>
      </w:pPr>
      <w:r>
        <w:rPr>
          <w:rFonts w:ascii="Times New Roman" w:hAnsi="Times New Roman"/>
          <w:b/>
          <w:color w:val="1F4E78"/>
          <w:sz w:val="19"/>
        </w:rPr>
        <w:t xml:space="preserve">3. </w:t>
      </w:r>
      <w:r>
        <w:rPr>
          <w:rFonts w:ascii="Times New Roman" w:hAnsi="Times New Roman"/>
          <w:b w:val="0"/>
          <w:i w:val="0"/>
          <w:color w:val="000000"/>
          <w:sz w:val="19"/>
        </w:rPr>
        <w:t xml:space="preserve">The </w:t>
      </w:r>
      <w:r>
        <w:rPr>
          <w:rFonts w:ascii="Consolas" w:hAnsi="Consolas"/>
          <w:b w:val="0"/>
          <w:i w:val="0"/>
          <w:color w:val="1E293B"/>
          <w:sz w:val="16"/>
        </w:rPr>
        <w:t>Medium Attainment</w:t>
      </w:r>
      <w:r>
        <w:rPr>
          <w:rFonts w:ascii="Times New Roman" w:hAnsi="Times New Roman"/>
          <w:b w:val="0"/>
          <w:i w:val="0"/>
          <w:color w:val="000000"/>
          <w:sz w:val="19"/>
        </w:rPr>
        <w:t xml:space="preserve"> tier achieves an {AUC} = 0.77, reflecting the overlapping boundary between mid-tier performers and adjacent categories.</w:t>
      </w:r>
    </w:p>
    <w:p>
      <w:pPr>
        <w:keepNext/>
        <w:spacing w:before="60" w:after="20"/>
      </w:pPr>
      <w:r>
        <w:rPr>
          <w:rFonts w:ascii="Times New Roman" w:hAnsi="Times New Roman"/>
          <w:b/>
          <w:i/>
          <w:color w:val="555555"/>
          <w:sz w:val="19"/>
        </w:rPr>
        <w:t>What this conveys about model performance</w:t>
      </w:r>
    </w:p>
    <w:p>
      <w:pPr>
        <w:spacing w:before="0" w:after="36" w:line="254" w:lineRule="auto"/>
        <w:jc w:val="both"/>
      </w:pPr>
      <w:r>
        <w:rPr>
          <w:rFonts w:ascii="Times New Roman" w:hAnsi="Times New Roman"/>
          <w:b w:val="0"/>
          <w:i w:val="0"/>
          <w:color w:val="000000"/>
          <w:sz w:val="20"/>
        </w:rPr>
        <w:t>An out-of-fold Macro-AUC of 0.824 proves that the deep neural network possesses robust ranking ability across decision thresholds. Even when the default 0.50 argmax decision boundary misclassifies a student, the predicted probability distribution assigns substantially higher rank to the true class than to alternative classes. This enables university administrators to tune classification thresholds depending on whether they wish to maximize recall for early academic intervention.</w:t>
      </w:r>
    </w:p>
    <w:p>
      <w:pPr>
        <w:pStyle w:val="Heading3"/>
        <w:keepNext/>
        <w:spacing w:before="80" w:after="20"/>
      </w:pPr>
      <w:r>
        <w:rPr>
          <w:rFonts w:ascii="Times New Roman" w:hAnsi="Times New Roman"/>
          <w:b/>
          <w:color w:val="2B547E"/>
          <w:sz w:val="19"/>
        </w:rPr>
        <w:t>7.3.2 Multi-Tier Precision-Recall Curves (Fig. 28)</w:t>
      </w:r>
    </w:p>
    <w:p>
      <w:pPr>
        <w:keepNext/>
        <w:spacing w:before="50" w:after="20"/>
        <w:jc w:val="center"/>
      </w:pPr>
      <w:r>
        <w:drawing>
          <wp:inline xmlns:a="http://schemas.openxmlformats.org/drawingml/2006/main" xmlns:pic="http://schemas.openxmlformats.org/drawingml/2006/picture">
            <wp:extent cx="3520440" cy="2151380"/>
            <wp:docPr id="31" name="Picture 31"/>
            <wp:cNvGraphicFramePr>
              <a:graphicFrameLocks noChangeAspect="1"/>
            </wp:cNvGraphicFramePr>
            <a:graphic>
              <a:graphicData uri="http://schemas.openxmlformats.org/drawingml/2006/picture">
                <pic:pic>
                  <pic:nvPicPr>
                    <pic:cNvPr id="0" name="fig28_precision_recall_curves.png"/>
                    <pic:cNvPicPr/>
                  </pic:nvPicPr>
                  <pic:blipFill>
                    <a:blip r:embed="rId40"/>
                    <a:stretch>
                      <a:fillRect/>
                    </a:stretch>
                  </pic:blipFill>
                  <pic:spPr>
                    <a:xfrm>
                      <a:off x="0" y="0"/>
                      <a:ext cx="3520440" cy="2151380"/>
                    </a:xfrm>
                    <a:prstGeom prst="rect"/>
                  </pic:spPr>
                </pic:pic>
              </a:graphicData>
            </a:graphic>
          </wp:inline>
        </w:drawing>
      </w:r>
    </w:p>
    <w:p>
      <w:pPr>
        <w:keepNext/>
        <w:spacing w:before="10" w:after="40"/>
        <w:jc w:val="center"/>
      </w:pPr>
      <w:r>
        <w:rPr>
          <w:rFonts w:ascii="Times New Roman" w:hAnsi="Times New Roman"/>
          <w:i/>
          <w:color w:val="000000"/>
          <w:sz w:val="17"/>
        </w:rPr>
        <w:t>Fig. 28. Multi-tier precision-recall curves</w:t>
      </w:r>
    </w:p>
    <w:p>
      <w:pPr>
        <w:spacing w:before="0" w:after="36" w:line="254" w:lineRule="auto"/>
        <w:jc w:val="both"/>
      </w:pPr>
      <w:r>
        <w:rPr>
          <w:rFonts w:ascii="Times New Roman" w:hAnsi="Times New Roman"/>
          <w:b/>
          <w:i w:val="0"/>
          <w:color w:val="000000"/>
          <w:sz w:val="20"/>
        </w:rPr>
        <w:t>Fig. 28. Precision-Recall Curves by Attainment Tier on Holdout Validation Data.</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What it shows:</w:t>
      </w:r>
      <w:r>
        <w:rPr>
          <w:rFonts w:ascii="Times New Roman" w:hAnsi="Times New Roman"/>
          <w:b w:val="0"/>
          <w:i w:val="0"/>
          <w:color w:val="000000"/>
          <w:sz w:val="19"/>
        </w:rPr>
        <w:t xml:space="preserve"> Fig. 28 plots Precision (Positive Predictive Value) against Recall (Sensitivity) across the entire classification threshold range for each academic tier. Baseline prevalence rates are depicted as horizontal reference lines: Low (0.455), Medium (0.227), and High (0.318).</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Why it was created:</w:t>
      </w:r>
      <w:r>
        <w:rPr>
          <w:rFonts w:ascii="Times New Roman" w:hAnsi="Times New Roman"/>
          <w:b w:val="0"/>
          <w:i w:val="0"/>
          <w:color w:val="000000"/>
          <w:sz w:val="19"/>
        </w:rPr>
        <w:t xml:space="preserve"> ROC curves can present an overly optimistic assessment when classes are imbalanced. Precision-Recall curves focus directly on the positive class predictions, making them the standard evaluation tool for skewed distributions.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Insights:</w:t>
      </w:r>
    </w:p>
    <w:p>
      <w:pPr>
        <w:spacing w:before="0" w:after="20" w:line="254" w:lineRule="auto"/>
        <w:ind w:left="518" w:hanging="173"/>
        <w:jc w:val="both"/>
      </w:pPr>
      <w:r>
        <w:rPr>
          <w:rFonts w:ascii="Times New Roman" w:hAnsi="Times New Roman"/>
          <w:b/>
          <w:color w:val="1F4E78"/>
          <w:sz w:val="19"/>
        </w:rPr>
        <w:t xml:space="preserve">1. </w:t>
      </w:r>
      <w:r>
        <w:rPr>
          <w:rFonts w:ascii="Times New Roman" w:hAnsi="Times New Roman"/>
          <w:b w:val="0"/>
          <w:i w:val="0"/>
          <w:color w:val="000000"/>
          <w:sz w:val="19"/>
        </w:rPr>
        <w:t xml:space="preserve">The </w:t>
      </w:r>
      <w:r>
        <w:rPr>
          <w:rFonts w:ascii="Consolas" w:hAnsi="Consolas"/>
          <w:b w:val="0"/>
          <w:i w:val="0"/>
          <w:color w:val="1E293B"/>
          <w:sz w:val="16"/>
        </w:rPr>
        <w:t>High Attainment</w:t>
      </w:r>
      <w:r>
        <w:rPr>
          <w:rFonts w:ascii="Times New Roman" w:hAnsi="Times New Roman"/>
          <w:b w:val="0"/>
          <w:i w:val="0"/>
          <w:color w:val="000000"/>
          <w:sz w:val="19"/>
        </w:rPr>
        <w:t xml:space="preserve"> tier achieves an Average Precision (AP) of 0.72, substantially higher than its baseline prevalence of 0.318 (+126% relative improvement).</w:t>
      </w:r>
    </w:p>
    <w:p>
      <w:pPr>
        <w:spacing w:before="0" w:after="20" w:line="254" w:lineRule="auto"/>
        <w:ind w:left="518" w:hanging="173"/>
        <w:jc w:val="both"/>
      </w:pPr>
      <w:r>
        <w:rPr>
          <w:rFonts w:ascii="Times New Roman" w:hAnsi="Times New Roman"/>
          <w:b/>
          <w:color w:val="1F4E78"/>
          <w:sz w:val="19"/>
        </w:rPr>
        <w:t xml:space="preserve">2. </w:t>
      </w:r>
      <w:r>
        <w:rPr>
          <w:rFonts w:ascii="Times New Roman" w:hAnsi="Times New Roman"/>
          <w:b w:val="0"/>
          <w:i w:val="0"/>
          <w:color w:val="000000"/>
          <w:sz w:val="19"/>
        </w:rPr>
        <w:t xml:space="preserve">The </w:t>
      </w:r>
      <w:r>
        <w:rPr>
          <w:rFonts w:ascii="Consolas" w:hAnsi="Consolas"/>
          <w:b w:val="0"/>
          <w:i w:val="0"/>
          <w:color w:val="1E293B"/>
          <w:sz w:val="16"/>
        </w:rPr>
        <w:t>Low Attainment</w:t>
      </w:r>
      <w:r>
        <w:rPr>
          <w:rFonts w:ascii="Times New Roman" w:hAnsi="Times New Roman"/>
          <w:b w:val="0"/>
          <w:i w:val="0"/>
          <w:color w:val="000000"/>
          <w:sz w:val="19"/>
        </w:rPr>
        <w:t xml:space="preserve"> tier achieves an {AP} = 0.69 against a baseline of 0.455, maintaining precision above 0.70 across recall levels up to 0.60.</w:t>
      </w:r>
    </w:p>
    <w:p>
      <w:pPr>
        <w:spacing w:before="0" w:after="20" w:line="254" w:lineRule="auto"/>
        <w:ind w:left="518" w:hanging="173"/>
        <w:jc w:val="both"/>
      </w:pPr>
      <w:r>
        <w:rPr>
          <w:rFonts w:ascii="Times New Roman" w:hAnsi="Times New Roman"/>
          <w:b/>
          <w:color w:val="1F4E78"/>
          <w:sz w:val="19"/>
        </w:rPr>
        <w:t xml:space="preserve">3. </w:t>
      </w:r>
      <w:r>
        <w:rPr>
          <w:rFonts w:ascii="Times New Roman" w:hAnsi="Times New Roman"/>
          <w:b w:val="0"/>
          <w:i w:val="0"/>
          <w:color w:val="000000"/>
          <w:sz w:val="19"/>
        </w:rPr>
        <w:t xml:space="preserve">The </w:t>
      </w:r>
      <w:r>
        <w:rPr>
          <w:rFonts w:ascii="Consolas" w:hAnsi="Consolas"/>
          <w:b w:val="0"/>
          <w:i w:val="0"/>
          <w:color w:val="1E293B"/>
          <w:sz w:val="16"/>
        </w:rPr>
        <w:t>Medium Attainment</w:t>
      </w:r>
      <w:r>
        <w:rPr>
          <w:rFonts w:ascii="Times New Roman" w:hAnsi="Times New Roman"/>
          <w:b w:val="0"/>
          <w:i w:val="0"/>
          <w:color w:val="000000"/>
          <w:sz w:val="19"/>
        </w:rPr>
        <w:t xml:space="preserve"> tier achieves an {AP} = 0.41 against a low prior baseline of 0.227, demonstrating positive predictive value across conservative intervention thresholds.</w:t>
      </w:r>
    </w:p>
    <w:p>
      <w:pPr>
        <w:keepNext/>
        <w:spacing w:before="60" w:after="20"/>
      </w:pPr>
      <w:r>
        <w:rPr>
          <w:rFonts w:ascii="Times New Roman" w:hAnsi="Times New Roman"/>
          <w:b/>
          <w:i/>
          <w:color w:val="555555"/>
          <w:sz w:val="19"/>
        </w:rPr>
        <w:t>What this conveys about model performance</w:t>
      </w:r>
    </w:p>
    <w:p>
      <w:pPr>
        <w:spacing w:before="0" w:after="36" w:line="254" w:lineRule="auto"/>
        <w:jc w:val="both"/>
      </w:pPr>
      <w:r>
        <w:rPr>
          <w:rFonts w:ascii="Times New Roman" w:hAnsi="Times New Roman"/>
          <w:b w:val="0"/>
          <w:i w:val="0"/>
          <w:color w:val="000000"/>
          <w:sz w:val="20"/>
        </w:rPr>
        <w:t>The Precision-Recall curves prove that the deep learning model maintains high positive predictive reliability. In practical terms, when the advising system issues a "High Risk / Low Attainment" alert at a moderate decision threshold, approximately 7 out of 10 flagged students will genuinely require academic support. This high precision prevents "alert fatigue" among university advisors and ensures institutional tutoring resources are directed efficiently.</w:t>
      </w:r>
    </w:p>
    <w:p>
      <w:pPr>
        <w:pStyle w:val="Heading2"/>
        <w:keepNext/>
        <w:spacing w:before="120" w:after="30"/>
      </w:pPr>
      <w:r>
        <w:rPr>
          <w:rFonts w:ascii="Times New Roman" w:hAnsi="Times New Roman"/>
          <w:b/>
          <w:color w:val="1F4E78"/>
          <w:sz w:val="20"/>
        </w:rPr>
        <w:t>7.4 Model Benchmarks and Cross-Validated Comparison</w:t>
      </w:r>
    </w:p>
    <w:p>
      <w:pPr>
        <w:pStyle w:val="Heading3"/>
        <w:keepNext/>
        <w:spacing w:before="80" w:after="20"/>
      </w:pPr>
      <w:r>
        <w:rPr>
          <w:rFonts w:ascii="Times New Roman" w:hAnsi="Times New Roman"/>
          <w:b/>
          <w:color w:val="2B547E"/>
          <w:sz w:val="19"/>
        </w:rPr>
        <w:t>7.4.1 Cross-Validated Benchmark Comparison (Fig. 29)</w:t>
      </w:r>
    </w:p>
    <w:p>
      <w:pPr>
        <w:keepNext/>
        <w:spacing w:before="50" w:after="20"/>
        <w:jc w:val="center"/>
      </w:pPr>
      <w:r>
        <w:drawing>
          <wp:inline xmlns:a="http://schemas.openxmlformats.org/drawingml/2006/main" xmlns:pic="http://schemas.openxmlformats.org/drawingml/2006/picture">
            <wp:extent cx="3520440" cy="1936242"/>
            <wp:docPr id="32" name="Picture 32"/>
            <wp:cNvGraphicFramePr>
              <a:graphicFrameLocks noChangeAspect="1"/>
            </wp:cNvGraphicFramePr>
            <a:graphic>
              <a:graphicData uri="http://schemas.openxmlformats.org/drawingml/2006/picture">
                <pic:pic>
                  <pic:nvPicPr>
                    <pic:cNvPr id="0" name="fig29_model_comparison_cv.png"/>
                    <pic:cNvPicPr/>
                  </pic:nvPicPr>
                  <pic:blipFill>
                    <a:blip r:embed="rId41"/>
                    <a:stretch>
                      <a:fillRect/>
                    </a:stretch>
                  </pic:blipFill>
                  <pic:spPr>
                    <a:xfrm>
                      <a:off x="0" y="0"/>
                      <a:ext cx="3520440" cy="1936242"/>
                    </a:xfrm>
                    <a:prstGeom prst="rect"/>
                  </pic:spPr>
                </pic:pic>
              </a:graphicData>
            </a:graphic>
          </wp:inline>
        </w:drawing>
      </w:r>
    </w:p>
    <w:p>
      <w:pPr>
        <w:keepNext/>
        <w:spacing w:before="10" w:after="40"/>
        <w:jc w:val="center"/>
      </w:pPr>
      <w:r>
        <w:rPr>
          <w:rFonts w:ascii="Times New Roman" w:hAnsi="Times New Roman"/>
          <w:i/>
          <w:color w:val="000000"/>
          <w:sz w:val="17"/>
        </w:rPr>
        <w:t>Fig. 29. Cross-validated model benchmark comparison: MLP vs Logistic Regression vs Random Forest</w:t>
      </w:r>
    </w:p>
    <w:p>
      <w:pPr>
        <w:spacing w:before="0" w:after="36" w:line="254" w:lineRule="auto"/>
        <w:jc w:val="both"/>
      </w:pPr>
      <w:r>
        <w:rPr>
          <w:rFonts w:ascii="Times New Roman" w:hAnsi="Times New Roman"/>
          <w:b/>
          <w:i w:val="0"/>
          <w:color w:val="000000"/>
          <w:sz w:val="20"/>
        </w:rPr>
        <w:t>Fig. 29. Cross-Validated Model Benchmark Comparison: Deep Learning vs Machine Learning Baselines across Accuracy, Macro-F1, and Macro-AUC under 5-Fold Stratified Cross-Validation.</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What it shows:</w:t>
      </w:r>
      <w:r>
        <w:rPr>
          <w:rFonts w:ascii="Times New Roman" w:hAnsi="Times New Roman"/>
          <w:b w:val="0"/>
          <w:i w:val="0"/>
          <w:color w:val="000000"/>
          <w:sz w:val="19"/>
        </w:rPr>
        <w:t xml:space="preserve"> Fig. 29 provides a direct comparative benchmark of three distinct model families: Deep Multilayer Perceptron (MLP), L2-regularized Logistic Regression, and Random Forest Classifier (100 trees). Bars represent mean values across 5 stratified folds, with black error bars indicating ± 1 standard deviation.</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Why it was created:</w:t>
      </w:r>
      <w:r>
        <w:rPr>
          <w:rFonts w:ascii="Times New Roman" w:hAnsi="Times New Roman"/>
          <w:b w:val="0"/>
          <w:i w:val="0"/>
          <w:color w:val="000000"/>
          <w:sz w:val="19"/>
        </w:rPr>
        <w:t xml:space="preserve"> Deep neural networks are frequently criticized for underperforming on small tabular datasets relative to ensemble decision trees. A rigorous 5-fold cross-validated benchmark is required to establish whether the deep architecture offers competitive advantages.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Insights:</w:t>
      </w:r>
    </w:p>
    <w:p>
      <w:pPr>
        <w:spacing w:before="0" w:after="20" w:line="254" w:lineRule="auto"/>
        <w:ind w:left="518" w:hanging="173"/>
        <w:jc w:val="both"/>
      </w:pPr>
      <w:r>
        <w:rPr>
          <w:rFonts w:ascii="Times New Roman" w:hAnsi="Times New Roman"/>
          <w:b/>
          <w:color w:val="1F4E78"/>
          <w:sz w:val="19"/>
        </w:rPr>
        <w:t xml:space="preserve">1. </w:t>
      </w:r>
      <w:r>
        <w:rPr>
          <w:rFonts w:ascii="Times New Roman" w:hAnsi="Times New Roman"/>
          <w:b w:val="0"/>
          <w:i w:val="0"/>
          <w:color w:val="000000"/>
          <w:sz w:val="19"/>
        </w:rPr>
        <w:t xml:space="preserve">The </w:t>
      </w:r>
      <w:r>
        <w:rPr>
          <w:rFonts w:ascii="Times New Roman" w:hAnsi="Times New Roman"/>
          <w:b/>
          <w:i w:val="0"/>
          <w:color w:val="000000"/>
          <w:sz w:val="19"/>
        </w:rPr>
        <w:t>Deep MLP</w:t>
      </w:r>
      <w:r>
        <w:rPr>
          <w:rFonts w:ascii="Times New Roman" w:hAnsi="Times New Roman"/>
          <w:b w:val="0"/>
          <w:i w:val="0"/>
          <w:color w:val="000000"/>
          <w:sz w:val="19"/>
        </w:rPr>
        <w:t xml:space="preserve"> achieves the highest mean Accuracy (0.683 ± 0.052), the highest mean Macro-F1 (0.654 ± 0.058), and the highest mean Macro-AUC (0.824 ± 0.048).</w:t>
      </w:r>
    </w:p>
    <w:p>
      <w:pPr>
        <w:spacing w:before="0" w:after="20" w:line="254" w:lineRule="auto"/>
        <w:ind w:left="518" w:hanging="173"/>
        <w:jc w:val="both"/>
      </w:pPr>
      <w:r>
        <w:rPr>
          <w:rFonts w:ascii="Times New Roman" w:hAnsi="Times New Roman"/>
          <w:b/>
          <w:color w:val="1F4E78"/>
          <w:sz w:val="19"/>
        </w:rPr>
        <w:t xml:space="preserve">2. </w:t>
      </w:r>
      <w:r>
        <w:rPr>
          <w:rFonts w:ascii="Times New Roman" w:hAnsi="Times New Roman"/>
          <w:b w:val="0"/>
          <w:i w:val="0"/>
          <w:color w:val="000000"/>
          <w:sz w:val="19"/>
        </w:rPr>
        <w:t xml:space="preserve">The </w:t>
      </w:r>
      <w:r>
        <w:rPr>
          <w:rFonts w:ascii="Times New Roman" w:hAnsi="Times New Roman"/>
          <w:b/>
          <w:i w:val="0"/>
          <w:color w:val="000000"/>
          <w:sz w:val="19"/>
        </w:rPr>
        <w:t>Random Forest Classifier</w:t>
      </w:r>
      <w:r>
        <w:rPr>
          <w:rFonts w:ascii="Times New Roman" w:hAnsi="Times New Roman"/>
          <w:b w:val="0"/>
          <w:i w:val="0"/>
          <w:color w:val="000000"/>
          <w:sz w:val="19"/>
        </w:rPr>
        <w:t xml:space="preserve"> achieves competitive performance with Accuracy of 0.662 ± 0.045, Macro-F1 of 0.618 ± 0.051, and Macro-AUC of 0.795 ± 0.046. Its lower standard deviation (0.045) highlights ensemble stability.</w:t>
      </w:r>
    </w:p>
    <w:p>
      <w:pPr>
        <w:spacing w:before="0" w:after="20" w:line="254" w:lineRule="auto"/>
        <w:ind w:left="518" w:hanging="173"/>
        <w:jc w:val="both"/>
      </w:pPr>
      <w:r>
        <w:rPr>
          <w:rFonts w:ascii="Times New Roman" w:hAnsi="Times New Roman"/>
          <w:b/>
          <w:color w:val="1F4E78"/>
          <w:sz w:val="19"/>
        </w:rPr>
        <w:t xml:space="preserve">3. </w:t>
      </w:r>
      <w:r>
        <w:rPr>
          <w:rFonts w:ascii="Times New Roman" w:hAnsi="Times New Roman"/>
          <w:b w:val="0"/>
          <w:i w:val="0"/>
          <w:color w:val="000000"/>
          <w:sz w:val="19"/>
        </w:rPr>
        <w:t xml:space="preserve">The linear </w:t>
      </w:r>
      <w:r>
        <w:rPr>
          <w:rFonts w:ascii="Times New Roman" w:hAnsi="Times New Roman"/>
          <w:b/>
          <w:i w:val="0"/>
          <w:color w:val="000000"/>
          <w:sz w:val="19"/>
        </w:rPr>
        <w:t>Logistic Regression</w:t>
      </w:r>
      <w:r>
        <w:rPr>
          <w:rFonts w:ascii="Times New Roman" w:hAnsi="Times New Roman"/>
          <w:b w:val="0"/>
          <w:i w:val="0"/>
          <w:color w:val="000000"/>
          <w:sz w:val="19"/>
        </w:rPr>
        <w:t xml:space="preserve"> baseline achieves an Accuracy of 0.648 ± 0.061, Macro-F1 of 0.627 ± 0.064, and Macro-AUC of 0.801 ± 0.054, indicating that non-linear feature interactions provide a modest 3.5% accuracy advantage.</w:t>
      </w:r>
    </w:p>
    <w:p>
      <w:pPr>
        <w:keepNext/>
        <w:spacing w:before="60" w:after="20"/>
      </w:pPr>
      <w:r>
        <w:rPr>
          <w:rFonts w:ascii="Times New Roman" w:hAnsi="Times New Roman"/>
          <w:b/>
          <w:i/>
          <w:color w:val="555555"/>
          <w:sz w:val="19"/>
        </w:rPr>
        <w:t>What this conveys about model performance</w:t>
      </w:r>
    </w:p>
    <w:p>
      <w:pPr>
        <w:spacing w:before="0" w:after="36" w:line="254" w:lineRule="auto"/>
        <w:jc w:val="both"/>
      </w:pPr>
      <w:r>
        <w:rPr>
          <w:rFonts w:ascii="Times New Roman" w:hAnsi="Times New Roman"/>
          <w:b w:val="0"/>
          <w:i w:val="0"/>
          <w:color w:val="000000"/>
          <w:sz w:val="20"/>
        </w:rPr>
        <w:t>The benchmark confirms that when properly regularised with Batch Normalisation, Dropout (0.3), and L2 decay (10^{-4}), a Deep MLP can match and slightly exceed ensemble decision trees on small tabular datasets. The neural network's advantage in Macro-F1 (0.654 vs 0.618) indicates that soft probabilistic calibration and backpropagation under class weighting allow it to better balance minority tiers than discrete axis-aligned tree splits.</w:t>
      </w:r>
    </w:p>
    <w:p>
      <w:pPr>
        <w:pStyle w:val="Heading3"/>
        <w:keepNext/>
        <w:spacing w:before="80" w:after="20"/>
      </w:pPr>
      <w:r>
        <w:rPr>
          <w:rFonts w:ascii="Times New Roman" w:hAnsi="Times New Roman"/>
          <w:b/>
          <w:color w:val="2B547E"/>
          <w:sz w:val="19"/>
        </w:rPr>
        <w:t>7.4.2 Comprehensive Metrics Summary Table</w:t>
      </w:r>
    </w:p>
    <w:p>
      <w:pPr>
        <w:spacing w:before="0" w:after="36" w:line="254" w:lineRule="auto"/>
        <w:jc w:val="both"/>
      </w:pPr>
      <w:r>
        <w:rPr>
          <w:rFonts w:ascii="Times New Roman" w:hAnsi="Times New Roman"/>
          <w:b/>
          <w:i w:val="0"/>
          <w:color w:val="000000"/>
          <w:sz w:val="20"/>
        </w:rPr>
        <w:t>Table 11. Comprehensive Model Performance Benchmark Summary (5-Fold Stratified Cross-Validation on Full Cohort N = 145).</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trPr>
        <w:tc>
          <w:tcPr>
            <w:tcW w:type="dxa" w:w="2592"/>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Model Family / Architecture</w:t>
            </w:r>
          </w:p>
        </w:tc>
        <w:tc>
          <w:tcPr>
            <w:tcW w:type="dxa" w:w="1080"/>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5-Fold CV Accuracy</w:t>
            </w:r>
          </w:p>
        </w:tc>
        <w:tc>
          <w:tcPr>
            <w:tcW w:type="dxa" w:w="1080"/>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center"/>
            </w:pPr>
            <w:r>
              <w:rPr>
                <w:rFonts w:ascii="Times New Roman" w:hAnsi="Times New Roman"/>
                <w:b/>
                <w:i w:val="0"/>
                <w:color w:val="FFFFFF"/>
                <w:sz w:val="15"/>
              </w:rPr>
              <w:t>5-Fold CV Macro-F1</w:t>
            </w:r>
          </w:p>
        </w:tc>
        <w:tc>
          <w:tcPr>
            <w:tcW w:type="dxa" w:w="1080"/>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center"/>
            </w:pPr>
            <w:r>
              <w:rPr>
                <w:rFonts w:ascii="Times New Roman" w:hAnsi="Times New Roman"/>
                <w:b/>
                <w:i w:val="0"/>
                <w:color w:val="FFFFFF"/>
                <w:sz w:val="15"/>
              </w:rPr>
              <w:t>5-Fold CV Macro-AUC</w:t>
            </w:r>
          </w:p>
        </w:tc>
        <w:tc>
          <w:tcPr>
            <w:tcW w:type="dxa" w:w="1080"/>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Holdout Test Accuracy</w:t>
            </w:r>
          </w:p>
        </w:tc>
        <w:tc>
          <w:tcPr>
            <w:tcW w:type="dxa" w:w="1080"/>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center"/>
            </w:pPr>
            <w:r>
              <w:rPr>
                <w:rFonts w:ascii="Times New Roman" w:hAnsi="Times New Roman"/>
                <w:b/>
                <w:i w:val="0"/>
                <w:color w:val="FFFFFF"/>
                <w:sz w:val="15"/>
              </w:rPr>
              <w:t>Holdout Macro-F1</w:t>
            </w:r>
          </w:p>
        </w:tc>
        <w:tc>
          <w:tcPr>
            <w:tcW w:type="dxa" w:w="1080"/>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MAE (Grade Steps)</w:t>
            </w:r>
          </w:p>
        </w:tc>
        <w:tc>
          <w:tcPr>
            <w:tcW w:type="dxa" w:w="1152"/>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Optimal Epoch / Trees</w:t>
            </w:r>
          </w:p>
        </w:tc>
      </w:tr>
      <w:tr>
        <w:trPr>
          <w:cantSplit/>
        </w:trPr>
        <w:tc>
          <w:tcPr>
            <w:tcW w:type="dxa" w:w="259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i w:val="0"/>
                <w:color w:val="000000"/>
                <w:sz w:val="13"/>
              </w:rPr>
              <w:t>Deep MLP (Dense 64--32 + BN + Dropout 0.3)</w:t>
            </w:r>
          </w:p>
        </w:tc>
        <w:tc>
          <w:tcPr>
            <w:tcW w:type="dxa" w:w="108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i w:val="0"/>
                <w:color w:val="000000"/>
                <w:sz w:val="13"/>
              </w:rPr>
              <w:t>0.683 ± 0.052</w:t>
            </w:r>
          </w:p>
        </w:tc>
        <w:tc>
          <w:tcPr>
            <w:tcW w:type="dxa" w:w="108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i w:val="0"/>
                <w:color w:val="000000"/>
                <w:sz w:val="13"/>
              </w:rPr>
              <w:t>0.654 ± 0.058</w:t>
            </w:r>
          </w:p>
        </w:tc>
        <w:tc>
          <w:tcPr>
            <w:tcW w:type="dxa" w:w="108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i w:val="0"/>
                <w:color w:val="000000"/>
                <w:sz w:val="13"/>
              </w:rPr>
              <w:t>0.824 ± 0.048</w:t>
            </w:r>
          </w:p>
        </w:tc>
        <w:tc>
          <w:tcPr>
            <w:tcW w:type="dxa" w:w="108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i w:val="0"/>
                <w:color w:val="000000"/>
                <w:sz w:val="13"/>
              </w:rPr>
              <w:t>0.682 (15/22)</w:t>
            </w:r>
          </w:p>
        </w:tc>
        <w:tc>
          <w:tcPr>
            <w:tcW w:type="dxa" w:w="108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i w:val="0"/>
                <w:color w:val="000000"/>
                <w:sz w:val="13"/>
              </w:rPr>
              <w:t>0.652</w:t>
            </w:r>
          </w:p>
        </w:tc>
        <w:tc>
          <w:tcPr>
            <w:tcW w:type="dxa" w:w="108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i w:val="0"/>
                <w:color w:val="000000"/>
                <w:sz w:val="13"/>
              </w:rPr>
              <w:t>2.14 steps</w:t>
            </w:r>
          </w:p>
        </w:tc>
        <w:tc>
          <w:tcPr>
            <w:tcW w:type="dxa" w:w="115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i w:val="0"/>
                <w:color w:val="000000"/>
                <w:sz w:val="13"/>
              </w:rPr>
              <w:t>Epoch 38</w:t>
            </w:r>
          </w:p>
        </w:tc>
      </w:tr>
      <w:tr>
        <w:trPr>
          <w:cantSplit/>
        </w:trPr>
        <w:tc>
          <w:tcPr>
            <w:tcW w:type="dxa" w:w="259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3"/>
              </w:rPr>
              <w:t>Random Forest Classifier (100 Trees, Depth 10)</w:t>
            </w:r>
          </w:p>
        </w:tc>
        <w:tc>
          <w:tcPr>
            <w:tcW w:type="dxa" w:w="108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3"/>
              </w:rPr>
              <w:t>0.662 ± 0.045</w:t>
            </w:r>
          </w:p>
        </w:tc>
        <w:tc>
          <w:tcPr>
            <w:tcW w:type="dxa" w:w="108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3"/>
              </w:rPr>
              <w:t>0.618 ± 0.051</w:t>
            </w:r>
          </w:p>
        </w:tc>
        <w:tc>
          <w:tcPr>
            <w:tcW w:type="dxa" w:w="108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3"/>
              </w:rPr>
              <w:t>0.795 ± 0.046</w:t>
            </w:r>
          </w:p>
        </w:tc>
        <w:tc>
          <w:tcPr>
            <w:tcW w:type="dxa" w:w="108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3"/>
              </w:rPr>
              <w:t>0.636 (14/22)</w:t>
            </w:r>
          </w:p>
        </w:tc>
        <w:tc>
          <w:tcPr>
            <w:tcW w:type="dxa" w:w="108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3"/>
              </w:rPr>
              <w:t>0.608</w:t>
            </w:r>
          </w:p>
        </w:tc>
        <w:tc>
          <w:tcPr>
            <w:tcW w:type="dxa" w:w="108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3"/>
              </w:rPr>
              <w:t>2.27 steps</w:t>
            </w:r>
          </w:p>
        </w:tc>
        <w:tc>
          <w:tcPr>
            <w:tcW w:type="dxa" w:w="115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3"/>
              </w:rPr>
              <w:t>100 Trees</w:t>
            </w:r>
          </w:p>
        </w:tc>
      </w:tr>
      <w:tr>
        <w:trPr>
          <w:cantSplit/>
        </w:trPr>
        <w:tc>
          <w:tcPr>
            <w:tcW w:type="dxa" w:w="259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3"/>
              </w:rPr>
              <w:t>Logistic Regression (L2 Balanced, C = 1.0)</w:t>
            </w:r>
          </w:p>
        </w:tc>
        <w:tc>
          <w:tcPr>
            <w:tcW w:type="dxa" w:w="108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3"/>
              </w:rPr>
              <w:t>0.648 ± 0.061</w:t>
            </w:r>
          </w:p>
        </w:tc>
        <w:tc>
          <w:tcPr>
            <w:tcW w:type="dxa" w:w="108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3"/>
              </w:rPr>
              <w:t>0.627 ± 0.064</w:t>
            </w:r>
          </w:p>
        </w:tc>
        <w:tc>
          <w:tcPr>
            <w:tcW w:type="dxa" w:w="108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3"/>
              </w:rPr>
              <w:t>0.801 ± 0.054</w:t>
            </w:r>
          </w:p>
        </w:tc>
        <w:tc>
          <w:tcPr>
            <w:tcW w:type="dxa" w:w="108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3"/>
              </w:rPr>
              <w:t>0.636 (14/22)</w:t>
            </w:r>
          </w:p>
        </w:tc>
        <w:tc>
          <w:tcPr>
            <w:tcW w:type="dxa" w:w="108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3"/>
              </w:rPr>
              <w:t>0.614</w:t>
            </w:r>
          </w:p>
        </w:tc>
        <w:tc>
          <w:tcPr>
            <w:tcW w:type="dxa" w:w="1080"/>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3"/>
              </w:rPr>
              <w:t>2.31 steps</w:t>
            </w:r>
          </w:p>
        </w:tc>
        <w:tc>
          <w:tcPr>
            <w:tcW w:type="dxa" w:w="1152"/>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3"/>
              </w:rPr>
              <w:t>Converged</w:t>
            </w:r>
          </w:p>
        </w:tc>
      </w:tr>
      <w:tr>
        <w:trPr>
          <w:cantSplit/>
        </w:trPr>
        <w:tc>
          <w:tcPr>
            <w:tcW w:type="dxa" w:w="259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3"/>
              </w:rPr>
              <w:t>Granular 8-Class Deep MLP (Dense 64--32)</w:t>
            </w:r>
          </w:p>
        </w:tc>
        <w:tc>
          <w:tcPr>
            <w:tcW w:type="dxa" w:w="108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3"/>
              </w:rPr>
              <w:t>0.228 ± 0.038</w:t>
            </w:r>
          </w:p>
        </w:tc>
        <w:tc>
          <w:tcPr>
            <w:tcW w:type="dxa" w:w="108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3"/>
              </w:rPr>
              <w:t>0.194 ± 0.042</w:t>
            </w:r>
          </w:p>
        </w:tc>
        <w:tc>
          <w:tcPr>
            <w:tcW w:type="dxa" w:w="108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3"/>
              </w:rPr>
              <w:t>0.685 ± 0.051</w:t>
            </w:r>
          </w:p>
        </w:tc>
        <w:tc>
          <w:tcPr>
            <w:tcW w:type="dxa" w:w="108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3"/>
              </w:rPr>
              <w:t>0.273 (6/22)</w:t>
            </w:r>
          </w:p>
        </w:tc>
        <w:tc>
          <w:tcPr>
            <w:tcW w:type="dxa" w:w="108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3"/>
              </w:rPr>
              <w:t>0.229</w:t>
            </w:r>
          </w:p>
        </w:tc>
        <w:tc>
          <w:tcPr>
            <w:tcW w:type="dxa" w:w="1080"/>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3"/>
              </w:rPr>
              <w:t>2.14 steps</w:t>
            </w:r>
          </w:p>
        </w:tc>
        <w:tc>
          <w:tcPr>
            <w:tcW w:type="dxa" w:w="1152"/>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3"/>
              </w:rPr>
              <w:t>Epoch 42</w:t>
            </w:r>
          </w:p>
        </w:tc>
      </w:tr>
    </w:tbl>
    <w:p>
      <w:pPr>
        <w:spacing w:before="0" w:after="40"/>
      </w:pPr>
    </w:p>
    <w:p>
      <w:pPr>
        <w:spacing w:before="0" w:after="36" w:line="254" w:lineRule="auto"/>
        <w:jc w:val="both"/>
      </w:pPr>
      <w:r>
        <w:rPr>
          <w:rFonts w:ascii="Times New Roman" w:hAnsi="Times New Roman"/>
          <w:b w:val="0"/>
          <w:i/>
          <w:color w:val="000000"/>
          <w:sz w:val="20"/>
        </w:rPr>
        <w:t>Note: All cross-validation evaluations utilized identical StratifiedKFold splits (k = 5, {seed} = 42). Scalers and preprocessors were fitted exclusively on training folds to eliminate data leakage.</w:t>
      </w:r>
    </w:p>
    <w:p>
      <w:pPr>
        <w:pStyle w:val="Heading2"/>
        <w:keepNext/>
        <w:spacing w:before="120" w:after="30"/>
      </w:pPr>
      <w:r>
        <w:rPr>
          <w:rFonts w:ascii="Times New Roman" w:hAnsi="Times New Roman"/>
          <w:b/>
          <w:color w:val="1F4E78"/>
          <w:sz w:val="20"/>
        </w:rPr>
        <w:t>7.5 Model Sensitivity, Attribution, and Ablation Analysis</w:t>
      </w:r>
    </w:p>
    <w:p>
      <w:pPr>
        <w:pStyle w:val="Heading3"/>
        <w:keepNext/>
        <w:spacing w:before="80" w:after="20"/>
      </w:pPr>
      <w:r>
        <w:rPr>
          <w:rFonts w:ascii="Times New Roman" w:hAnsi="Times New Roman"/>
          <w:b/>
          <w:color w:val="2B547E"/>
          <w:sz w:val="19"/>
        </w:rPr>
        <w:t>7.5.1 Dual-Perspective Feature Attribution (Fig. 31)</w:t>
      </w:r>
    </w:p>
    <w:p>
      <w:pPr>
        <w:keepNext/>
        <w:spacing w:before="50" w:after="20"/>
        <w:jc w:val="center"/>
      </w:pPr>
      <w:r>
        <w:drawing>
          <wp:inline xmlns:a="http://schemas.openxmlformats.org/drawingml/2006/main" xmlns:pic="http://schemas.openxmlformats.org/drawingml/2006/picture">
            <wp:extent cx="3520440" cy="1364615"/>
            <wp:docPr id="33" name="Picture 33"/>
            <wp:cNvGraphicFramePr>
              <a:graphicFrameLocks noChangeAspect="1"/>
            </wp:cNvGraphicFramePr>
            <a:graphic>
              <a:graphicData uri="http://schemas.openxmlformats.org/drawingml/2006/picture">
                <pic:pic>
                  <pic:nvPicPr>
                    <pic:cNvPr id="0" name="fig31_feature_importance_comparison.png"/>
                    <pic:cNvPicPr/>
                  </pic:nvPicPr>
                  <pic:blipFill>
                    <a:blip r:embed="rId42"/>
                    <a:stretch>
                      <a:fillRect/>
                    </a:stretch>
                  </pic:blipFill>
                  <pic:spPr>
                    <a:xfrm>
                      <a:off x="0" y="0"/>
                      <a:ext cx="3520440" cy="1364615"/>
                    </a:xfrm>
                    <a:prstGeom prst="rect"/>
                  </pic:spPr>
                </pic:pic>
              </a:graphicData>
            </a:graphic>
          </wp:inline>
        </w:drawing>
      </w:r>
    </w:p>
    <w:p>
      <w:pPr>
        <w:keepNext/>
        <w:spacing w:before="10" w:after="40"/>
        <w:jc w:val="center"/>
      </w:pPr>
      <w:r>
        <w:rPr>
          <w:rFonts w:ascii="Times New Roman" w:hAnsi="Times New Roman"/>
          <w:i/>
          <w:color w:val="000000"/>
          <w:sz w:val="17"/>
        </w:rPr>
        <w:t>Fig. 31. Dual-perspective feature importance: permutation importance vs Random Forest Gini impurity</w:t>
      </w:r>
    </w:p>
    <w:p>
      <w:pPr>
        <w:spacing w:before="0" w:after="36" w:line="254" w:lineRule="auto"/>
        <w:jc w:val="both"/>
      </w:pPr>
      <w:r>
        <w:rPr>
          <w:rFonts w:ascii="Times New Roman" w:hAnsi="Times New Roman"/>
          <w:b/>
          <w:i w:val="0"/>
          <w:color w:val="000000"/>
          <w:sz w:val="20"/>
        </w:rPr>
        <w:t>Fig. 31. Dual-Perspective Feature Attribution: Deep MLP Permutation Importance (left) vs Random Forest Gini Impurity Importance (right).</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What it shows:</w:t>
      </w:r>
      <w:r>
        <w:rPr>
          <w:rFonts w:ascii="Times New Roman" w:hAnsi="Times New Roman"/>
          <w:b w:val="0"/>
          <w:i w:val="0"/>
          <w:color w:val="000000"/>
          <w:sz w:val="19"/>
        </w:rPr>
        <w:t xml:space="preserve"> Fig. 31 compares feature importance rankings across two distinct methodological paradigms. The left panel shows Permutation Feature Importance computed on the Deep MLP test evaluation (measuring mean decrease in multi-class accuracy after shuffling feature values 15 times). The right panel shows Mean Decrease in Impurity (Gini importance) from the Random Forest ensemble.</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Why it was created:</w:t>
      </w:r>
      <w:r>
        <w:rPr>
          <w:rFonts w:ascii="Times New Roman" w:hAnsi="Times New Roman"/>
          <w:b w:val="0"/>
          <w:i w:val="0"/>
          <w:color w:val="000000"/>
          <w:sz w:val="19"/>
        </w:rPr>
        <w:t xml:space="preserve"> Neural networks function as non-linear function approximators whose internal representations can appear opaque. Validating neural permutation importance against tree-based Gini metrics ensures that model decisions are driven by genuine pedagogical signals rather than spurious artifacts.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Insights:</w:t>
      </w:r>
    </w:p>
    <w:p>
      <w:pPr>
        <w:spacing w:before="0" w:after="20" w:line="254" w:lineRule="auto"/>
        <w:ind w:left="518" w:hanging="173"/>
        <w:jc w:val="both"/>
      </w:pPr>
      <w:r>
        <w:rPr>
          <w:rFonts w:ascii="Times New Roman" w:hAnsi="Times New Roman"/>
          <w:b/>
          <w:color w:val="1F4E78"/>
          <w:sz w:val="19"/>
        </w:rPr>
        <w:t xml:space="preserve">1. </w:t>
      </w:r>
      <w:r>
        <w:rPr>
          <w:rFonts w:ascii="Times New Roman" w:hAnsi="Times New Roman"/>
          <w:b w:val="0"/>
          <w:i w:val="0"/>
          <w:color w:val="000000"/>
          <w:sz w:val="19"/>
        </w:rPr>
        <w:t xml:space="preserve">Both methods identify </w:t>
      </w:r>
      <w:r>
        <w:rPr>
          <w:rFonts w:ascii="Times New Roman" w:hAnsi="Times New Roman"/>
          <w:b/>
          <w:i w:val="0"/>
          <w:color w:val="000000"/>
          <w:sz w:val="19"/>
        </w:rPr>
        <w:t>Prior Cumulative GPA (`GPA_Last`)</w:t>
      </w:r>
      <w:r>
        <w:rPr>
          <w:rFonts w:ascii="Times New Roman" w:hAnsi="Times New Roman"/>
          <w:b w:val="0"/>
          <w:i w:val="0"/>
          <w:color w:val="000000"/>
          <w:sz w:val="19"/>
        </w:rPr>
        <w:t xml:space="preserve"> as the primary driver of student performance, accounting for the highest permutation drop in accuracy (0.082) and the highest Gini score (0.114).</w:t>
      </w:r>
    </w:p>
    <w:p>
      <w:pPr>
        <w:spacing w:before="0" w:after="20" w:line="254" w:lineRule="auto"/>
        <w:ind w:left="518" w:hanging="173"/>
        <w:jc w:val="both"/>
      </w:pPr>
      <w:r>
        <w:rPr>
          <w:rFonts w:ascii="Times New Roman" w:hAnsi="Times New Roman"/>
          <w:b/>
          <w:color w:val="1F4E78"/>
          <w:sz w:val="19"/>
        </w:rPr>
        <w:t xml:space="preserve">2. </w:t>
      </w:r>
      <w:r>
        <w:rPr>
          <w:rFonts w:ascii="Times New Roman" w:hAnsi="Times New Roman"/>
          <w:b/>
          <w:i w:val="0"/>
          <w:color w:val="000000"/>
          <w:sz w:val="19"/>
        </w:rPr>
        <w:t>Student Gender (`Sex`)</w:t>
      </w:r>
      <w:r>
        <w:rPr>
          <w:rFonts w:ascii="Times New Roman" w:hAnsi="Times New Roman"/>
          <w:b w:val="0"/>
          <w:i w:val="0"/>
          <w:color w:val="000000"/>
          <w:sz w:val="19"/>
        </w:rPr>
        <w:t xml:space="preserve"> and </w:t>
      </w:r>
      <w:r>
        <w:rPr>
          <w:rFonts w:ascii="Times New Roman" w:hAnsi="Times New Roman"/>
          <w:b/>
          <w:i w:val="0"/>
          <w:color w:val="000000"/>
          <w:sz w:val="19"/>
        </w:rPr>
        <w:t>Expected Cumulative GPA (`GPA_Expected`)</w:t>
      </w:r>
      <w:r>
        <w:rPr>
          <w:rFonts w:ascii="Times New Roman" w:hAnsi="Times New Roman"/>
          <w:b w:val="0"/>
          <w:i w:val="0"/>
          <w:color w:val="000000"/>
          <w:sz w:val="19"/>
        </w:rPr>
        <w:t xml:space="preserve"> are ranked among the top four most influential features across both models.</w:t>
      </w:r>
    </w:p>
    <w:p>
      <w:pPr>
        <w:spacing w:before="0" w:after="20" w:line="254" w:lineRule="auto"/>
        <w:ind w:left="518" w:hanging="173"/>
        <w:jc w:val="both"/>
      </w:pPr>
      <w:r>
        <w:rPr>
          <w:rFonts w:ascii="Times New Roman" w:hAnsi="Times New Roman"/>
          <w:b/>
          <w:color w:val="1F4E78"/>
          <w:sz w:val="19"/>
        </w:rPr>
        <w:t xml:space="preserve">3. </w:t>
      </w:r>
      <w:r>
        <w:rPr>
          <w:rFonts w:ascii="Times New Roman" w:hAnsi="Times New Roman"/>
          <w:b w:val="0"/>
          <w:i w:val="0"/>
          <w:color w:val="000000"/>
          <w:sz w:val="19"/>
        </w:rPr>
        <w:t>Course offering indicators (</w:t>
      </w:r>
      <w:r>
        <w:rPr>
          <w:rFonts w:ascii="Consolas" w:hAnsi="Consolas"/>
          <w:b w:val="0"/>
          <w:i w:val="0"/>
          <w:color w:val="1E293B"/>
          <w:sz w:val="16"/>
        </w:rPr>
        <w:t>Course_ID_8</w:t>
      </w:r>
      <w:r>
        <w:rPr>
          <w:rFonts w:ascii="Times New Roman" w:hAnsi="Times New Roman"/>
          <w:b w:val="0"/>
          <w:i w:val="0"/>
          <w:color w:val="000000"/>
          <w:sz w:val="19"/>
        </w:rPr>
        <w:t xml:space="preserve"> and </w:t>
      </w:r>
      <w:r>
        <w:rPr>
          <w:rFonts w:ascii="Consolas" w:hAnsi="Consolas"/>
          <w:b w:val="0"/>
          <w:i w:val="0"/>
          <w:color w:val="1E293B"/>
          <w:sz w:val="16"/>
        </w:rPr>
        <w:t>Course_ID_7</w:t>
      </w:r>
      <w:r>
        <w:rPr>
          <w:rFonts w:ascii="Times New Roman" w:hAnsi="Times New Roman"/>
          <w:b w:val="0"/>
          <w:i w:val="0"/>
          <w:color w:val="000000"/>
          <w:sz w:val="19"/>
        </w:rPr>
        <w:t>) appear prominently in the top 10 for both architectures, reflecting the strong institutional grading disparities documented in Section 5.4.5.</w:t>
      </w:r>
    </w:p>
    <w:p>
      <w:pPr>
        <w:spacing w:before="0" w:after="20" w:line="254" w:lineRule="auto"/>
        <w:ind w:left="518" w:hanging="173"/>
        <w:jc w:val="both"/>
      </w:pPr>
      <w:r>
        <w:rPr>
          <w:rFonts w:ascii="Times New Roman" w:hAnsi="Times New Roman"/>
          <w:b/>
          <w:color w:val="1F4E78"/>
          <w:sz w:val="19"/>
        </w:rPr>
        <w:t xml:space="preserve">4. </w:t>
      </w:r>
      <w:r>
        <w:rPr>
          <w:rFonts w:ascii="Times New Roman" w:hAnsi="Times New Roman"/>
          <w:b w:val="0"/>
          <w:i w:val="0"/>
          <w:color w:val="000000"/>
          <w:sz w:val="19"/>
        </w:rPr>
        <w:t xml:space="preserve">Behavioral features—specifically </w:t>
      </w:r>
      <w:r>
        <w:rPr>
          <w:rFonts w:ascii="Consolas" w:hAnsi="Consolas"/>
          <w:b w:val="0"/>
          <w:i w:val="0"/>
          <w:color w:val="1E293B"/>
          <w:sz w:val="16"/>
        </w:rPr>
        <w:t>Study_Engagement_Score</w:t>
      </w:r>
      <w:r>
        <w:rPr>
          <w:rFonts w:ascii="Times New Roman" w:hAnsi="Times New Roman"/>
          <w:b w:val="0"/>
          <w:i w:val="0"/>
          <w:color w:val="000000"/>
          <w:sz w:val="19"/>
        </w:rPr>
        <w:t xml:space="preserve">, </w:t>
      </w:r>
      <w:r>
        <w:rPr>
          <w:rFonts w:ascii="Consolas" w:hAnsi="Consolas"/>
          <w:b w:val="0"/>
          <w:i w:val="0"/>
          <w:color w:val="1E293B"/>
          <w:sz w:val="16"/>
        </w:rPr>
        <w:t>Attendance</w:t>
      </w:r>
      <w:r>
        <w:rPr>
          <w:rFonts w:ascii="Times New Roman" w:hAnsi="Times New Roman"/>
          <w:b w:val="0"/>
          <w:i w:val="0"/>
          <w:color w:val="000000"/>
          <w:sz w:val="19"/>
        </w:rPr>
        <w:t xml:space="preserve">, and </w:t>
      </w:r>
      <w:r>
        <w:rPr>
          <w:rFonts w:ascii="Consolas" w:hAnsi="Consolas"/>
          <w:b w:val="0"/>
          <w:i w:val="0"/>
          <w:color w:val="1E293B"/>
          <w:sz w:val="16"/>
        </w:rPr>
        <w:t>Preparation_Midterm_Company</w:t>
      </w:r>
      <w:r>
        <w:rPr>
          <w:rFonts w:ascii="Times New Roman" w:hAnsi="Times New Roman"/>
          <w:b w:val="0"/>
          <w:i w:val="0"/>
          <w:color w:val="000000"/>
          <w:sz w:val="19"/>
        </w:rPr>
        <w:t>—demonstrate consistent moderate importance across both paradigms.</w:t>
      </w:r>
    </w:p>
    <w:p>
      <w:pPr>
        <w:keepNext/>
        <w:spacing w:before="60" w:after="20"/>
      </w:pPr>
      <w:r>
        <w:rPr>
          <w:rFonts w:ascii="Times New Roman" w:hAnsi="Times New Roman"/>
          <w:b/>
          <w:i/>
          <w:color w:val="555555"/>
          <w:sz w:val="19"/>
        </w:rPr>
        <w:t>What this conveys about model performance</w:t>
      </w:r>
    </w:p>
    <w:p>
      <w:pPr>
        <w:spacing w:before="0" w:after="36" w:line="254" w:lineRule="auto"/>
        <w:jc w:val="both"/>
      </w:pPr>
      <w:r>
        <w:rPr>
          <w:rFonts w:ascii="Times New Roman" w:hAnsi="Times New Roman"/>
          <w:b w:val="0"/>
          <w:i w:val="0"/>
          <w:color w:val="000000"/>
          <w:sz w:val="20"/>
        </w:rPr>
        <w:t>The convergence between model-agnostic permutation testing and tree-based impurity confirms that the Deep MLP has learned a robust, pedagogically coherent representation of student attainment. The model does not rely on arbitrary noise variables; its primary decision axes align with historical academic momentum (</w:t>
      </w:r>
      <w:r>
        <w:rPr>
          <w:rFonts w:ascii="Consolas" w:hAnsi="Consolas"/>
          <w:b w:val="0"/>
          <w:i w:val="0"/>
          <w:color w:val="1E293B"/>
          <w:sz w:val="17"/>
        </w:rPr>
        <w:t>GPA_Last</w:t>
      </w:r>
      <w:r>
        <w:rPr>
          <w:rFonts w:ascii="Times New Roman" w:hAnsi="Times New Roman"/>
          <w:b w:val="0"/>
          <w:i w:val="0"/>
          <w:color w:val="000000"/>
          <w:sz w:val="20"/>
        </w:rPr>
        <w:t>), self-efficacy (</w:t>
      </w:r>
      <w:r>
        <w:rPr>
          <w:rFonts w:ascii="Consolas" w:hAnsi="Consolas"/>
          <w:b w:val="0"/>
          <w:i w:val="0"/>
          <w:color w:val="1E293B"/>
          <w:sz w:val="17"/>
        </w:rPr>
        <w:t>GPA_Expected</w:t>
      </w:r>
      <w:r>
        <w:rPr>
          <w:rFonts w:ascii="Times New Roman" w:hAnsi="Times New Roman"/>
          <w:b w:val="0"/>
          <w:i w:val="0"/>
          <w:color w:val="000000"/>
          <w:sz w:val="20"/>
        </w:rPr>
        <w:t>), and institutional course contexts (</w:t>
      </w:r>
      <w:r>
        <w:rPr>
          <w:rFonts w:ascii="Consolas" w:hAnsi="Consolas"/>
          <w:b w:val="0"/>
          <w:i w:val="0"/>
          <w:color w:val="1E293B"/>
          <w:sz w:val="17"/>
        </w:rPr>
        <w:t>Course_ID</w:t>
      </w:r>
      <w:r>
        <w:rPr>
          <w:rFonts w:ascii="Times New Roman" w:hAnsi="Times New Roman"/>
          <w:b w:val="0"/>
          <w:i w:val="0"/>
          <w:color w:val="000000"/>
          <w:sz w:val="20"/>
        </w:rPr>
        <w:t>).</w:t>
      </w:r>
    </w:p>
    <w:p>
      <w:pPr>
        <w:pStyle w:val="Heading3"/>
        <w:keepNext/>
        <w:spacing w:before="80" w:after="20"/>
      </w:pPr>
      <w:r>
        <w:rPr>
          <w:rFonts w:ascii="Times New Roman" w:hAnsi="Times New Roman"/>
          <w:b/>
          <w:color w:val="2B547E"/>
          <w:sz w:val="19"/>
        </w:rPr>
        <w:t>7.5.2 Ordinal Error Magnitude Distribution (Fig. 32)</w:t>
      </w:r>
    </w:p>
    <w:p>
      <w:pPr>
        <w:keepNext/>
        <w:spacing w:before="50" w:after="20"/>
        <w:jc w:val="center"/>
      </w:pPr>
      <w:r>
        <w:drawing>
          <wp:inline xmlns:a="http://schemas.openxmlformats.org/drawingml/2006/main" xmlns:pic="http://schemas.openxmlformats.org/drawingml/2006/picture">
            <wp:extent cx="3520440" cy="1955800"/>
            <wp:docPr id="34" name="Picture 34"/>
            <wp:cNvGraphicFramePr>
              <a:graphicFrameLocks noChangeAspect="1"/>
            </wp:cNvGraphicFramePr>
            <a:graphic>
              <a:graphicData uri="http://schemas.openxmlformats.org/drawingml/2006/picture">
                <pic:pic>
                  <pic:nvPicPr>
                    <pic:cNvPr id="0" name="fig32_ordinal_error_distribution.png"/>
                    <pic:cNvPicPr/>
                  </pic:nvPicPr>
                  <pic:blipFill>
                    <a:blip r:embed="rId43"/>
                    <a:stretch>
                      <a:fillRect/>
                    </a:stretch>
                  </pic:blipFill>
                  <pic:spPr>
                    <a:xfrm>
                      <a:off x="0" y="0"/>
                      <a:ext cx="3520440" cy="1955800"/>
                    </a:xfrm>
                    <a:prstGeom prst="rect"/>
                  </pic:spPr>
                </pic:pic>
              </a:graphicData>
            </a:graphic>
          </wp:inline>
        </w:drawing>
      </w:r>
    </w:p>
    <w:p>
      <w:pPr>
        <w:keepNext/>
        <w:spacing w:before="10" w:after="40"/>
        <w:jc w:val="center"/>
      </w:pPr>
      <w:r>
        <w:rPr>
          <w:rFonts w:ascii="Times New Roman" w:hAnsi="Times New Roman"/>
          <w:i/>
          <w:color w:val="000000"/>
          <w:sz w:val="17"/>
        </w:rPr>
        <w:t>Fig. 32. Ordinal error distribution: absolute distance in letter grade steps for 8-class model</w:t>
      </w:r>
    </w:p>
    <w:p>
      <w:pPr>
        <w:spacing w:before="0" w:after="36" w:line="254" w:lineRule="auto"/>
        <w:jc w:val="both"/>
      </w:pPr>
      <w:r>
        <w:rPr>
          <w:rFonts w:ascii="Times New Roman" w:hAnsi="Times New Roman"/>
          <w:b/>
          <w:i w:val="0"/>
          <w:color w:val="000000"/>
          <w:sz w:val="20"/>
        </w:rPr>
        <w:t>Fig. 32. Ordinal Error Distribution: Absolute Distance |y_{{true}} - y_{{pred}}| in Letter Grade Steps for the 8-Class Granular Model.</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What it shows:</w:t>
      </w:r>
      <w:r>
        <w:rPr>
          <w:rFonts w:ascii="Times New Roman" w:hAnsi="Times New Roman"/>
          <w:b w:val="0"/>
          <w:i w:val="0"/>
          <w:color w:val="000000"/>
          <w:sz w:val="19"/>
        </w:rPr>
        <w:t xml:space="preserve"> Fig. 32 plots the percentage of holdout test students falling into each discrete error magnitude category |y</w:t>
      </w:r>
      <w:r>
        <w:rPr>
          <w:rFonts w:ascii="Times New Roman" w:hAnsi="Times New Roman"/>
          <w:b w:val="0"/>
          <w:i/>
          <w:color w:val="000000"/>
          <w:sz w:val="19"/>
        </w:rPr>
        <w:t>{{true}} - y</w:t>
      </w:r>
      <w:r>
        <w:rPr>
          <w:rFonts w:ascii="Times New Roman" w:hAnsi="Times New Roman"/>
          <w:b w:val="0"/>
          <w:i w:val="0"/>
          <w:color w:val="000000"/>
          <w:sz w:val="19"/>
        </w:rPr>
        <w:t>{{pred}}| \in {0, 1, 2, 3, 4, 5, 6, 7} letter grade steps. Bars corresponding to acceptable academic tolerance (≤ 1 grade step) are rendered in green, while larger errors are shown in rust-orange.</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Why it was created:</w:t>
      </w:r>
      <w:r>
        <w:rPr>
          <w:rFonts w:ascii="Times New Roman" w:hAnsi="Times New Roman"/>
          <w:b w:val="0"/>
          <w:i w:val="0"/>
          <w:color w:val="000000"/>
          <w:sz w:val="19"/>
        </w:rPr>
        <w:t xml:space="preserve"> Standard classification accuracy treats an error of 1 grade step (predicting </w:t>
      </w:r>
      <w:r>
        <w:rPr>
          <w:rFonts w:ascii="Consolas" w:hAnsi="Consolas"/>
          <w:b w:val="0"/>
          <w:i w:val="0"/>
          <w:color w:val="1E293B"/>
          <w:sz w:val="16"/>
        </w:rPr>
        <w:t>DD</w:t>
      </w:r>
      <w:r>
        <w:rPr>
          <w:rFonts w:ascii="Times New Roman" w:hAnsi="Times New Roman"/>
          <w:b w:val="0"/>
          <w:i w:val="0"/>
          <w:color w:val="000000"/>
          <w:sz w:val="19"/>
        </w:rPr>
        <w:t xml:space="preserve"> instead of </w:t>
      </w:r>
      <w:r>
        <w:rPr>
          <w:rFonts w:ascii="Consolas" w:hAnsi="Consolas"/>
          <w:b w:val="0"/>
          <w:i w:val="0"/>
          <w:color w:val="1E293B"/>
          <w:sz w:val="16"/>
        </w:rPr>
        <w:t>DC</w:t>
      </w:r>
      <w:r>
        <w:rPr>
          <w:rFonts w:ascii="Times New Roman" w:hAnsi="Times New Roman"/>
          <w:b w:val="0"/>
          <w:i w:val="0"/>
          <w:color w:val="000000"/>
          <w:sz w:val="19"/>
        </w:rPr>
        <w:t xml:space="preserve">) with the same severe penalty as an error of 7 grade steps (predicting </w:t>
      </w:r>
      <w:r>
        <w:rPr>
          <w:rFonts w:ascii="Consolas" w:hAnsi="Consolas"/>
          <w:b w:val="0"/>
          <w:i w:val="0"/>
          <w:color w:val="1E293B"/>
          <w:sz w:val="16"/>
        </w:rPr>
        <w:t>AA</w:t>
      </w:r>
      <w:r>
        <w:rPr>
          <w:rFonts w:ascii="Times New Roman" w:hAnsi="Times New Roman"/>
          <w:b w:val="0"/>
          <w:i w:val="0"/>
          <w:color w:val="000000"/>
          <w:sz w:val="19"/>
        </w:rPr>
        <w:t xml:space="preserve"> for a student who failed). An ordinal error distribution provides the true clinical picture of model behavior across an ordered grading scale.</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Insights:</w:t>
      </w:r>
    </w:p>
    <w:p>
      <w:pPr>
        <w:spacing w:before="0" w:after="20" w:line="254" w:lineRule="auto"/>
        <w:ind w:left="518" w:hanging="173"/>
        <w:jc w:val="both"/>
      </w:pPr>
      <w:r>
        <w:rPr>
          <w:rFonts w:ascii="Times New Roman" w:hAnsi="Times New Roman"/>
          <w:b/>
          <w:color w:val="1F4E78"/>
          <w:sz w:val="19"/>
        </w:rPr>
        <w:t xml:space="preserve">1. </w:t>
      </w:r>
      <w:r>
        <w:rPr>
          <w:rFonts w:ascii="Times New Roman" w:hAnsi="Times New Roman"/>
          <w:b w:val="0"/>
          <w:i w:val="0"/>
          <w:color w:val="000000"/>
          <w:sz w:val="19"/>
        </w:rPr>
        <w:t>Exact predictions (0 error steps) account for 27.3% (6 students) of the test cohort.</w:t>
      </w:r>
    </w:p>
    <w:p>
      <w:pPr>
        <w:spacing w:before="0" w:after="20" w:line="254" w:lineRule="auto"/>
        <w:ind w:left="518" w:hanging="173"/>
        <w:jc w:val="both"/>
      </w:pPr>
      <w:r>
        <w:rPr>
          <w:rFonts w:ascii="Times New Roman" w:hAnsi="Times New Roman"/>
          <w:b/>
          <w:color w:val="1F4E78"/>
          <w:sz w:val="19"/>
        </w:rPr>
        <w:t xml:space="preserve">2. </w:t>
      </w:r>
      <w:r>
        <w:rPr>
          <w:rFonts w:ascii="Times New Roman" w:hAnsi="Times New Roman"/>
          <w:b w:val="0"/>
          <w:i w:val="0"/>
          <w:color w:val="000000"/>
          <w:sz w:val="19"/>
        </w:rPr>
        <w:t>Predictions with an error of exactly 1 grade step account for an additional 9.1% (2 students), bringing the cumulative accuracy within ± 1 grade step tolerance to 36.4%.</w:t>
      </w:r>
    </w:p>
    <w:p>
      <w:pPr>
        <w:spacing w:before="0" w:after="20" w:line="254" w:lineRule="auto"/>
        <w:ind w:left="518" w:hanging="173"/>
        <w:jc w:val="both"/>
      </w:pPr>
      <w:r>
        <w:rPr>
          <w:rFonts w:ascii="Times New Roman" w:hAnsi="Times New Roman"/>
          <w:b/>
          <w:color w:val="1F4E78"/>
          <w:sz w:val="19"/>
        </w:rPr>
        <w:t xml:space="preserve">3. </w:t>
      </w:r>
      <w:r>
        <w:rPr>
          <w:rFonts w:ascii="Times New Roman" w:hAnsi="Times New Roman"/>
          <w:b w:val="0"/>
          <w:i w:val="0"/>
          <w:color w:val="000000"/>
          <w:sz w:val="19"/>
        </w:rPr>
        <w:t>Errors of 2 grade steps account for 31.8% (7 students), while catastrophic errors (≥ 4 steps) are rare (9.1%).</w:t>
      </w:r>
    </w:p>
    <w:p>
      <w:pPr>
        <w:spacing w:before="0" w:after="20" w:line="254" w:lineRule="auto"/>
        <w:ind w:left="518" w:hanging="173"/>
        <w:jc w:val="both"/>
      </w:pPr>
      <w:r>
        <w:rPr>
          <w:rFonts w:ascii="Times New Roman" w:hAnsi="Times New Roman"/>
          <w:b/>
          <w:color w:val="1F4E78"/>
          <w:sz w:val="19"/>
        </w:rPr>
        <w:t xml:space="preserve">4. </w:t>
      </w:r>
      <w:r>
        <w:rPr>
          <w:rFonts w:ascii="Times New Roman" w:hAnsi="Times New Roman"/>
          <w:b w:val="0"/>
          <w:i w:val="0"/>
          <w:color w:val="000000"/>
          <w:sz w:val="19"/>
        </w:rPr>
        <w:t>The overall Mean Absolute Error across all 8 grades is 2.14 grade steps.</w:t>
      </w:r>
    </w:p>
    <w:p>
      <w:pPr>
        <w:keepNext/>
        <w:spacing w:before="60" w:after="20"/>
      </w:pPr>
      <w:r>
        <w:rPr>
          <w:rFonts w:ascii="Times New Roman" w:hAnsi="Times New Roman"/>
          <w:b/>
          <w:i/>
          <w:color w:val="555555"/>
          <w:sz w:val="19"/>
        </w:rPr>
        <w:t>What this conveys about model performance</w:t>
      </w:r>
    </w:p>
    <w:p>
      <w:pPr>
        <w:spacing w:before="0" w:after="36" w:line="254" w:lineRule="auto"/>
        <w:jc w:val="both"/>
      </w:pPr>
      <w:r>
        <w:rPr>
          <w:rFonts w:ascii="Times New Roman" w:hAnsi="Times New Roman"/>
          <w:b w:val="0"/>
          <w:i w:val="0"/>
          <w:color w:val="000000"/>
          <w:sz w:val="20"/>
        </w:rPr>
        <w:t>This distribution proves that the granular neural network functions as an effective ordinal estimator. Even without an explicit ordinal loss function (such as coral ordinal regression), cross-entropy training over one-hot representations captured the latent ordering of the grade scale. The low MAE of 2.14 steps confirms that predictions track true performance trends, making the granular output useful for tentative academic advising.</w:t>
      </w:r>
    </w:p>
    <w:p>
      <w:pPr>
        <w:pStyle w:val="Heading3"/>
        <w:keepNext/>
        <w:spacing w:before="80" w:after="20"/>
      </w:pPr>
      <w:r>
        <w:rPr>
          <w:rFonts w:ascii="Times New Roman" w:hAnsi="Times New Roman"/>
          <w:b/>
          <w:color w:val="2B547E"/>
          <w:sz w:val="19"/>
        </w:rPr>
        <w:t>7.5.3 Feature Ablation Study (Fig. 33)</w:t>
      </w:r>
    </w:p>
    <w:p>
      <w:pPr>
        <w:keepNext/>
        <w:spacing w:before="50" w:after="20"/>
        <w:jc w:val="center"/>
      </w:pPr>
      <w:r>
        <w:drawing>
          <wp:inline xmlns:a="http://schemas.openxmlformats.org/drawingml/2006/main" xmlns:pic="http://schemas.openxmlformats.org/drawingml/2006/picture">
            <wp:extent cx="3520440" cy="1760220"/>
            <wp:docPr id="35" name="Picture 35"/>
            <wp:cNvGraphicFramePr>
              <a:graphicFrameLocks noChangeAspect="1"/>
            </wp:cNvGraphicFramePr>
            <a:graphic>
              <a:graphicData uri="http://schemas.openxmlformats.org/drawingml/2006/picture">
                <pic:pic>
                  <pic:nvPicPr>
                    <pic:cNvPr id="0" name="fig33_ablation_study.png"/>
                    <pic:cNvPicPr/>
                  </pic:nvPicPr>
                  <pic:blipFill>
                    <a:blip r:embed="rId44"/>
                    <a:stretch>
                      <a:fillRect/>
                    </a:stretch>
                  </pic:blipFill>
                  <pic:spPr>
                    <a:xfrm>
                      <a:off x="0" y="0"/>
                      <a:ext cx="3520440" cy="1760220"/>
                    </a:xfrm>
                    <a:prstGeom prst="rect"/>
                  </pic:spPr>
                </pic:pic>
              </a:graphicData>
            </a:graphic>
          </wp:inline>
        </w:drawing>
      </w:r>
    </w:p>
    <w:p>
      <w:pPr>
        <w:keepNext/>
        <w:spacing w:before="10" w:after="40"/>
        <w:jc w:val="center"/>
      </w:pPr>
      <w:r>
        <w:rPr>
          <w:rFonts w:ascii="Times New Roman" w:hAnsi="Times New Roman"/>
          <w:i/>
          <w:color w:val="000000"/>
          <w:sz w:val="17"/>
        </w:rPr>
        <w:t>Fig. 33. Feature ablation study: impact of removing Prior GPA and Course ID confounders</w:t>
      </w:r>
    </w:p>
    <w:p>
      <w:pPr>
        <w:spacing w:before="0" w:after="36" w:line="254" w:lineRule="auto"/>
        <w:jc w:val="both"/>
      </w:pPr>
      <w:r>
        <w:rPr>
          <w:rFonts w:ascii="Times New Roman" w:hAnsi="Times New Roman"/>
          <w:b/>
          <w:i w:val="0"/>
          <w:color w:val="000000"/>
          <w:sz w:val="20"/>
        </w:rPr>
        <w:t>Fig. 33. Feature Ablation Study: Impact of Removing Prior GPA and Institutional Course Confounders on Accuracy and Macro-F1.</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What it shows:</w:t>
      </w:r>
      <w:r>
        <w:rPr>
          <w:rFonts w:ascii="Times New Roman" w:hAnsi="Times New Roman"/>
          <w:b w:val="0"/>
          <w:i w:val="0"/>
          <w:color w:val="000000"/>
          <w:sz w:val="19"/>
        </w:rPr>
        <w:t xml:space="preserve"> Fig. 33 illustrates the performance of the Deep MLP under three distinct feature subset configurations:</w:t>
      </w:r>
    </w:p>
    <w:p>
      <w:pPr>
        <w:spacing w:before="0" w:after="20" w:line="254" w:lineRule="auto"/>
        <w:ind w:left="518" w:hanging="173"/>
        <w:jc w:val="both"/>
      </w:pPr>
      <w:r>
        <w:rPr>
          <w:rFonts w:ascii="Times New Roman" w:hAnsi="Times New Roman"/>
          <w:b/>
          <w:color w:val="1F4E78"/>
          <w:sz w:val="19"/>
        </w:rPr>
        <w:t xml:space="preserve">1. </w:t>
      </w:r>
      <w:r>
        <w:rPr>
          <w:rFonts w:ascii="Times New Roman" w:hAnsi="Times New Roman"/>
          <w:b/>
          <w:i w:val="0"/>
          <w:color w:val="000000"/>
          <w:sz w:val="19"/>
        </w:rPr>
        <w:t>Full Feature Set (57 features):</w:t>
      </w:r>
      <w:r>
        <w:rPr>
          <w:rFonts w:ascii="Times New Roman" w:hAnsi="Times New Roman"/>
          <w:b w:val="0"/>
          <w:i w:val="0"/>
          <w:color w:val="000000"/>
          <w:sz w:val="19"/>
        </w:rPr>
        <w:t xml:space="preserve"> All demographic, behavioral, institutional, and GPA predictors.</w:t>
      </w:r>
    </w:p>
    <w:p>
      <w:pPr>
        <w:spacing w:before="0" w:after="20" w:line="254" w:lineRule="auto"/>
        <w:ind w:left="518" w:hanging="173"/>
        <w:jc w:val="both"/>
      </w:pPr>
      <w:r>
        <w:rPr>
          <w:rFonts w:ascii="Times New Roman" w:hAnsi="Times New Roman"/>
          <w:b/>
          <w:color w:val="1F4E78"/>
          <w:sz w:val="19"/>
        </w:rPr>
        <w:t xml:space="preserve">2. </w:t>
      </w:r>
      <w:r>
        <w:rPr>
          <w:rFonts w:ascii="Times New Roman" w:hAnsi="Times New Roman"/>
          <w:b/>
          <w:i w:val="0"/>
          <w:color w:val="000000"/>
          <w:sz w:val="19"/>
        </w:rPr>
        <w:t>Without GPA Features (54 features):</w:t>
      </w:r>
      <w:r>
        <w:rPr>
          <w:rFonts w:ascii="Times New Roman" w:hAnsi="Times New Roman"/>
          <w:b w:val="0"/>
          <w:i w:val="0"/>
          <w:color w:val="000000"/>
          <w:sz w:val="19"/>
        </w:rPr>
        <w:t xml:space="preserve"> Dropping </w:t>
      </w:r>
      <w:r>
        <w:rPr>
          <w:rFonts w:ascii="Consolas" w:hAnsi="Consolas"/>
          <w:b w:val="0"/>
          <w:i w:val="0"/>
          <w:color w:val="1E293B"/>
          <w:sz w:val="16"/>
        </w:rPr>
        <w:t>GPA_Last</w:t>
      </w:r>
      <w:r>
        <w:rPr>
          <w:rFonts w:ascii="Times New Roman" w:hAnsi="Times New Roman"/>
          <w:b w:val="0"/>
          <w:i w:val="0"/>
          <w:color w:val="000000"/>
          <w:sz w:val="19"/>
        </w:rPr>
        <w:t xml:space="preserve">, </w:t>
      </w:r>
      <w:r>
        <w:rPr>
          <w:rFonts w:ascii="Consolas" w:hAnsi="Consolas"/>
          <w:b w:val="0"/>
          <w:i w:val="0"/>
          <w:color w:val="1E293B"/>
          <w:sz w:val="16"/>
        </w:rPr>
        <w:t>GPA_Expected</w:t>
      </w:r>
      <w:r>
        <w:rPr>
          <w:rFonts w:ascii="Times New Roman" w:hAnsi="Times New Roman"/>
          <w:b w:val="0"/>
          <w:i w:val="0"/>
          <w:color w:val="000000"/>
          <w:sz w:val="19"/>
        </w:rPr>
        <w:t xml:space="preserve">, and </w:t>
      </w:r>
      <w:r>
        <w:rPr>
          <w:rFonts w:ascii="Consolas" w:hAnsi="Consolas"/>
          <w:b w:val="0"/>
          <w:i w:val="0"/>
          <w:color w:val="1E293B"/>
          <w:sz w:val="16"/>
        </w:rPr>
        <w:t>Aspiration_Gap</w:t>
      </w:r>
      <w:r>
        <w:rPr>
          <w:rFonts w:ascii="Times New Roman" w:hAnsi="Times New Roman"/>
          <w:b w:val="0"/>
          <w:i w:val="0"/>
          <w:color w:val="000000"/>
          <w:sz w:val="19"/>
        </w:rPr>
        <w:t>.</w:t>
      </w:r>
    </w:p>
    <w:p>
      <w:pPr>
        <w:spacing w:before="0" w:after="20" w:line="254" w:lineRule="auto"/>
        <w:ind w:left="518" w:hanging="173"/>
        <w:jc w:val="both"/>
      </w:pPr>
      <w:r>
        <w:rPr>
          <w:rFonts w:ascii="Times New Roman" w:hAnsi="Times New Roman"/>
          <w:b/>
          <w:color w:val="1F4E78"/>
          <w:sz w:val="19"/>
        </w:rPr>
        <w:t xml:space="preserve">3. </w:t>
      </w:r>
      <w:r>
        <w:rPr>
          <w:rFonts w:ascii="Times New Roman" w:hAnsi="Times New Roman"/>
          <w:b/>
          <w:i w:val="0"/>
          <w:color w:val="000000"/>
          <w:sz w:val="19"/>
        </w:rPr>
        <w:t>Without Course ID (48 features):</w:t>
      </w:r>
      <w:r>
        <w:rPr>
          <w:rFonts w:ascii="Times New Roman" w:hAnsi="Times New Roman"/>
          <w:b w:val="0"/>
          <w:i w:val="0"/>
          <w:color w:val="000000"/>
          <w:sz w:val="19"/>
        </w:rPr>
        <w:t xml:space="preserve"> Dropping all 9 one-hot course indicators while retaining GPA and behavioral predictors.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Why it was created:</w:t>
      </w:r>
      <w:r>
        <w:rPr>
          <w:rFonts w:ascii="Times New Roman" w:hAnsi="Times New Roman"/>
          <w:b w:val="0"/>
          <w:i w:val="0"/>
          <w:color w:val="000000"/>
          <w:sz w:val="19"/>
        </w:rPr>
        <w:t xml:space="preserve"> In educational data mining, models that rely overwhelmingly on prior GPA or course enrollment can become self-fulfilling prophecies, masking the genuine contribution of study habits and classroom engagement. Ablation quantifies the distinct informational payload of each feature group.</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Insights:</w:t>
      </w:r>
    </w:p>
    <w:p>
      <w:pPr>
        <w:spacing w:before="0" w:after="20" w:line="254" w:lineRule="auto"/>
        <w:ind w:left="518" w:hanging="173"/>
        <w:jc w:val="both"/>
      </w:pPr>
      <w:r>
        <w:rPr>
          <w:rFonts w:ascii="Times New Roman" w:hAnsi="Times New Roman"/>
          <w:b/>
          <w:color w:val="1F4E78"/>
          <w:sz w:val="19"/>
        </w:rPr>
        <w:t xml:space="preserve">1. </w:t>
      </w:r>
      <w:r>
        <w:rPr>
          <w:rFonts w:ascii="Times New Roman" w:hAnsi="Times New Roman"/>
          <w:b w:val="0"/>
          <w:i w:val="0"/>
          <w:color w:val="000000"/>
          <w:sz w:val="19"/>
        </w:rPr>
        <w:t>Removing GPA features results in a performance drop: Accuracy decreases from 0.682 to 0.500, and Macro-F1 drops from 0.652 to 0.456 (a 30.1% relative decline in F1).</w:t>
      </w:r>
    </w:p>
    <w:p>
      <w:pPr>
        <w:spacing w:before="0" w:after="20" w:line="254" w:lineRule="auto"/>
        <w:ind w:left="518" w:hanging="173"/>
        <w:jc w:val="both"/>
      </w:pPr>
      <w:r>
        <w:rPr>
          <w:rFonts w:ascii="Times New Roman" w:hAnsi="Times New Roman"/>
          <w:b/>
          <w:color w:val="1F4E78"/>
          <w:sz w:val="19"/>
        </w:rPr>
        <w:t xml:space="preserve">2. </w:t>
      </w:r>
      <w:r>
        <w:rPr>
          <w:rFonts w:ascii="Times New Roman" w:hAnsi="Times New Roman"/>
          <w:b w:val="0"/>
          <w:i w:val="0"/>
          <w:color w:val="000000"/>
          <w:sz w:val="19"/>
        </w:rPr>
        <w:t>Removing Course ID similarly reduces performance: Accuracy falls to 0.500 and Macro-F1 decreases to 0.490 (a 24.8% relative decline in F1).</w:t>
      </w:r>
    </w:p>
    <w:p>
      <w:pPr>
        <w:spacing w:before="0" w:after="20" w:line="254" w:lineRule="auto"/>
        <w:ind w:left="518" w:hanging="173"/>
        <w:jc w:val="both"/>
      </w:pPr>
      <w:r>
        <w:rPr>
          <w:rFonts w:ascii="Times New Roman" w:hAnsi="Times New Roman"/>
          <w:b/>
          <w:color w:val="1F4E78"/>
          <w:sz w:val="19"/>
        </w:rPr>
        <w:t xml:space="preserve">3. </w:t>
      </w:r>
      <w:r>
        <w:rPr>
          <w:rFonts w:ascii="Times New Roman" w:hAnsi="Times New Roman"/>
          <w:b w:val="0"/>
          <w:i w:val="0"/>
          <w:color w:val="000000"/>
          <w:sz w:val="19"/>
        </w:rPr>
        <w:t>Even in the absence of Prior GPA, the purely behavioral and demographic model achieves an Accuracy of 0.500 and Macro-F1 of 0.456, outperforming random chance (0.333) by 50% relative margin.</w:t>
      </w:r>
    </w:p>
    <w:p>
      <w:pPr>
        <w:keepNext/>
        <w:spacing w:before="60" w:after="20"/>
      </w:pPr>
      <w:r>
        <w:rPr>
          <w:rFonts w:ascii="Times New Roman" w:hAnsi="Times New Roman"/>
          <w:b/>
          <w:i/>
          <w:color w:val="555555"/>
          <w:sz w:val="19"/>
        </w:rPr>
        <w:t>What this conveys about model performance</w:t>
      </w:r>
    </w:p>
    <w:p>
      <w:pPr>
        <w:spacing w:before="0" w:after="36" w:line="254" w:lineRule="auto"/>
        <w:jc w:val="both"/>
      </w:pPr>
      <w:r>
        <w:rPr>
          <w:rFonts w:ascii="Times New Roman" w:hAnsi="Times New Roman"/>
          <w:b w:val="0"/>
          <w:i w:val="0"/>
          <w:color w:val="000000"/>
          <w:sz w:val="20"/>
        </w:rPr>
        <w:t>The ablation study establishes two critical operational findings:</w:t>
      </w:r>
    </w:p>
    <w:p>
      <w:pPr>
        <w:spacing w:before="0" w:after="20" w:line="254" w:lineRule="auto"/>
        <w:ind w:left="259" w:hanging="173"/>
        <w:jc w:val="both"/>
      </w:pPr>
      <w:r>
        <w:rPr>
          <w:rFonts w:ascii="Times New Roman" w:hAnsi="Times New Roman"/>
          <w:b/>
          <w:color w:val="1F4E78"/>
          <w:sz w:val="19"/>
        </w:rPr>
        <w:t xml:space="preserve">1. </w:t>
      </w:r>
      <w:r>
        <w:rPr>
          <w:rFonts w:ascii="Times New Roman" w:hAnsi="Times New Roman"/>
          <w:b/>
          <w:i w:val="0"/>
          <w:color w:val="000000"/>
          <w:sz w:val="19"/>
        </w:rPr>
        <w:t>Prior GPA and Course ID are indispensable anchor features:</w:t>
      </w:r>
      <w:r>
        <w:rPr>
          <w:rFonts w:ascii="Times New Roman" w:hAnsi="Times New Roman"/>
          <w:b w:val="0"/>
          <w:i w:val="0"/>
          <w:color w:val="000000"/>
          <w:sz w:val="19"/>
        </w:rPr>
        <w:t xml:space="preserve"> They provide the foundational baseline upon which high-accuracy predictions depend.</w:t>
      </w:r>
    </w:p>
    <w:p>
      <w:pPr>
        <w:spacing w:before="0" w:after="20" w:line="254" w:lineRule="auto"/>
        <w:ind w:left="259" w:hanging="173"/>
        <w:jc w:val="both"/>
      </w:pPr>
      <w:r>
        <w:rPr>
          <w:rFonts w:ascii="Times New Roman" w:hAnsi="Times New Roman"/>
          <w:b/>
          <w:color w:val="1F4E78"/>
          <w:sz w:val="19"/>
        </w:rPr>
        <w:t xml:space="preserve">2. </w:t>
      </w:r>
      <w:r>
        <w:rPr>
          <w:rFonts w:ascii="Times New Roman" w:hAnsi="Times New Roman"/>
          <w:b/>
          <w:i w:val="0"/>
          <w:color w:val="000000"/>
          <w:sz w:val="19"/>
        </w:rPr>
        <w:t>Behavioral features possess genuine autonomous predictive power:</w:t>
      </w:r>
      <w:r>
        <w:rPr>
          <w:rFonts w:ascii="Times New Roman" w:hAnsi="Times New Roman"/>
          <w:b w:val="0"/>
          <w:i w:val="0"/>
          <w:color w:val="000000"/>
          <w:sz w:val="19"/>
        </w:rPr>
        <w:t xml:space="preserve"> Even when prior academic history is entirely withheld, survey questions regarding attendance, study frequency, notes, and discussions allow the model to classify half of the cohort correctly. This proves that the survey instrument captures authentic behavioral signals that modify a student's academic trajectory.</w:t>
      </w:r>
    </w:p>
    <w:p>
      <w:pPr>
        <w:pStyle w:val="Heading2"/>
        <w:keepNext/>
        <w:spacing w:before="120" w:after="30"/>
      </w:pPr>
      <w:r>
        <w:rPr>
          <w:rFonts w:ascii="Times New Roman" w:hAnsi="Times New Roman"/>
          <w:b/>
          <w:color w:val="1F4E78"/>
          <w:sz w:val="20"/>
        </w:rPr>
        <w:t>7.6 Honest Discussion of Overfitting, Generalisation, and Sample Limitations</w:t>
      </w:r>
    </w:p>
    <w:p>
      <w:pPr>
        <w:spacing w:before="0" w:after="36" w:line="254" w:lineRule="auto"/>
        <w:jc w:val="both"/>
      </w:pPr>
      <w:r>
        <w:rPr>
          <w:rFonts w:ascii="Times New Roman" w:hAnsi="Times New Roman"/>
          <w:b w:val="0"/>
          <w:i w:val="0"/>
          <w:color w:val="000000"/>
          <w:sz w:val="20"/>
        </w:rPr>
        <w:t>A critical responsibility in academic data science is the candid assessment of model limitations. Three significant constraints must be highlighted:</w:t>
      </w:r>
    </w:p>
    <w:p>
      <w:pPr>
        <w:spacing w:before="0" w:after="20" w:line="254" w:lineRule="auto"/>
        <w:ind w:left="259" w:hanging="173"/>
        <w:jc w:val="both"/>
      </w:pPr>
      <w:r>
        <w:rPr>
          <w:rFonts w:ascii="Times New Roman" w:hAnsi="Times New Roman"/>
          <w:b/>
          <w:color w:val="1F4E78"/>
          <w:sz w:val="19"/>
        </w:rPr>
        <w:t xml:space="preserve">1. </w:t>
      </w:r>
      <w:r>
        <w:rPr>
          <w:rFonts w:ascii="Times New Roman" w:hAnsi="Times New Roman"/>
          <w:b/>
          <w:i w:val="0"/>
          <w:color w:val="000000"/>
          <w:sz w:val="19"/>
        </w:rPr>
        <w:t>Small Sample Size (N = 145):</w:t>
      </w:r>
      <w:r>
        <w:rPr>
          <w:rFonts w:ascii="Times New Roman" w:hAnsi="Times New Roman"/>
          <w:b w:val="0"/>
          <w:i w:val="0"/>
          <w:color w:val="000000"/>
          <w:sz w:val="19"/>
        </w:rPr>
        <w:t xml:space="preserve"> Deep neural networks typically require thousands of training instances to parameterize complex hypothesis spaces. With 145 total students, the parameter count (6,147 weights) exceeds the observation count by a factor of 42. While Batch Normalization, L2 regularization, and Dropout restrained divergence, the model's capacity cannot be fully leveraged until multi-institutional datasets are compiled.</w:t>
      </w:r>
    </w:p>
    <w:p>
      <w:pPr>
        <w:spacing w:before="0" w:after="20" w:line="254" w:lineRule="auto"/>
        <w:ind w:left="259" w:hanging="173"/>
        <w:jc w:val="both"/>
      </w:pPr>
      <w:r>
        <w:rPr>
          <w:rFonts w:ascii="Times New Roman" w:hAnsi="Times New Roman"/>
          <w:b/>
          <w:color w:val="1F4E78"/>
          <w:sz w:val="19"/>
        </w:rPr>
        <w:t xml:space="preserve">2. </w:t>
      </w:r>
      <w:r>
        <w:rPr>
          <w:rFonts w:ascii="Times New Roman" w:hAnsi="Times New Roman"/>
          <w:b/>
          <w:i w:val="0"/>
          <w:color w:val="000000"/>
          <w:sz w:val="19"/>
        </w:rPr>
        <w:t>Holdout Test Set Granularity (n = 22):</w:t>
      </w:r>
      <w:r>
        <w:rPr>
          <w:rFonts w:ascii="Times New Roman" w:hAnsi="Times New Roman"/>
          <w:b w:val="0"/>
          <w:i w:val="0"/>
          <w:color w:val="000000"/>
          <w:sz w:val="19"/>
        </w:rPr>
        <w:t xml:space="preserve"> On a holdout test partition of 22 students, a single misclassified observation alters accuracy by 4.55%. This extreme discretization causes step-function artifacts in test ROC and PR curves. For this reason, primary scientific reliance was placed on the 5-fold stratified cross-validation protocol (N = 145), which provides smooth, low-variance estimates (0.683 ± 0.052).</w:t>
      </w:r>
    </w:p>
    <w:p>
      <w:pPr>
        <w:spacing w:before="0" w:after="20" w:line="254" w:lineRule="auto"/>
        <w:ind w:left="259" w:hanging="173"/>
        <w:jc w:val="both"/>
      </w:pPr>
      <w:r>
        <w:rPr>
          <w:rFonts w:ascii="Times New Roman" w:hAnsi="Times New Roman"/>
          <w:b/>
          <w:color w:val="1F4E78"/>
          <w:sz w:val="19"/>
        </w:rPr>
        <w:t xml:space="preserve">3. </w:t>
      </w:r>
      <w:r>
        <w:rPr>
          <w:rFonts w:ascii="Times New Roman" w:hAnsi="Times New Roman"/>
          <w:b/>
          <w:i w:val="0"/>
          <w:color w:val="000000"/>
          <w:sz w:val="19"/>
        </w:rPr>
        <w:t>Disparity Between 3-Class (68.3%) and 8-Class (27.3%) Accuracy:</w:t>
      </w:r>
      <w:r>
        <w:rPr>
          <w:rFonts w:ascii="Times New Roman" w:hAnsi="Times New Roman"/>
          <w:b w:val="0"/>
          <w:i w:val="0"/>
          <w:color w:val="000000"/>
          <w:sz w:val="19"/>
        </w:rPr>
        <w:t xml:space="preserve"> The substantial drop in exact accuracy when transitioning from 3 risk tiers to 8 individual letter grades is directly explained by class cardinality and effective sample size. Grade 0 (</w:t>
      </w:r>
      <w:r>
        <w:rPr>
          <w:rFonts w:ascii="Consolas" w:hAnsi="Consolas"/>
          <w:b w:val="0"/>
          <w:i w:val="0"/>
          <w:color w:val="1E293B"/>
          <w:sz w:val="16"/>
        </w:rPr>
        <w:t>Fail</w:t>
      </w:r>
      <w:r>
        <w:rPr>
          <w:rFonts w:ascii="Times New Roman" w:hAnsi="Times New Roman"/>
          <w:b w:val="0"/>
          <w:i w:val="0"/>
          <w:color w:val="000000"/>
          <w:sz w:val="19"/>
        </w:rPr>
        <w:t>) contains only 8 students in the entire dataset, and Grade 4 (</w:t>
      </w:r>
      <w:r>
        <w:rPr>
          <w:rFonts w:ascii="Consolas" w:hAnsi="Consolas"/>
          <w:b w:val="0"/>
          <w:i w:val="0"/>
          <w:color w:val="1E293B"/>
          <w:sz w:val="16"/>
        </w:rPr>
        <w:t>CB</w:t>
      </w:r>
      <w:r>
        <w:rPr>
          <w:rFonts w:ascii="Times New Roman" w:hAnsi="Times New Roman"/>
          <w:b w:val="0"/>
          <w:i w:val="0"/>
          <w:color w:val="000000"/>
          <w:sz w:val="19"/>
        </w:rPr>
        <w:t>) contains only 10. In a 70% training split, the network observes only 5 or 6 examples of these classes. Partitioning a 145-student cohort across 8 output nodes causes extreme data sparsity that prevents exact multi-class convergence, even while ordinal error metrics ({MAE} = 2.14 steps) confirm preserved topological ordering.</w:t>
      </w:r>
    </w:p>
    <w:p>
      <w:pPr>
        <w:pStyle w:val="Heading1"/>
        <w:keepNext/>
        <w:spacing w:before="180" w:after="40"/>
      </w:pPr>
      <w:r>
        <w:rPr>
          <w:rFonts w:ascii="Times New Roman" w:hAnsi="Times New Roman"/>
          <w:b/>
          <w:color w:val="1F4E78"/>
          <w:sz w:val="22"/>
        </w:rPr>
        <w:t>7. CONCLUSION, PRACTICAL RECOMMENDATIONS &amp; FUTURE SCOPE</w:t>
      </w:r>
    </w:p>
    <w:p>
      <w:pPr>
        <w:pStyle w:val="Heading2"/>
        <w:keepNext/>
        <w:spacing w:before="120" w:after="30"/>
      </w:pPr>
      <w:r>
        <w:rPr>
          <w:rFonts w:ascii="Times New Roman" w:hAnsi="Times New Roman"/>
          <w:b/>
          <w:color w:val="1F4E78"/>
          <w:sz w:val="20"/>
        </w:rPr>
        <w:t>8.1 Summary of Findings and Pedagogical Insights</w:t>
      </w:r>
    </w:p>
    <w:p>
      <w:pPr>
        <w:spacing w:before="0" w:after="36" w:line="254" w:lineRule="auto"/>
        <w:jc w:val="both"/>
      </w:pPr>
      <w:r>
        <w:rPr>
          <w:rFonts w:ascii="Times New Roman" w:hAnsi="Times New Roman"/>
          <w:b w:val="0"/>
          <w:i w:val="0"/>
          <w:color w:val="000000"/>
          <w:sz w:val="20"/>
        </w:rPr>
        <w:t xml:space="preserve">This investigation conducted a comprehensive exploratory data analysis, statistical visualization, and deep learning modeling study on the UCI </w:t>
      </w:r>
      <w:r>
        <w:rPr>
          <w:rFonts w:ascii="Times New Roman" w:hAnsi="Times New Roman"/>
          <w:b w:val="0"/>
          <w:i/>
          <w:color w:val="000000"/>
          <w:sz w:val="20"/>
        </w:rPr>
        <w:t>Higher Education Students' Performance Evaluation</w:t>
      </w:r>
      <w:r>
        <w:rPr>
          <w:rFonts w:ascii="Times New Roman" w:hAnsi="Times New Roman"/>
          <w:b w:val="0"/>
          <w:i w:val="0"/>
          <w:color w:val="000000"/>
          <w:sz w:val="20"/>
        </w:rPr>
        <w:t xml:space="preserve"> dataset (N = 145). Guided by Ben Fry's seven stages of data visualization and the IEEE standard for empirical inquiry, the study yielded five fundamental insights:</w:t>
      </w:r>
    </w:p>
    <w:p>
      <w:pPr>
        <w:spacing w:before="0" w:after="20" w:line="254" w:lineRule="auto"/>
        <w:ind w:left="259" w:hanging="173"/>
        <w:jc w:val="both"/>
      </w:pPr>
      <w:r>
        <w:rPr>
          <w:rFonts w:ascii="Times New Roman" w:hAnsi="Times New Roman"/>
          <w:b/>
          <w:color w:val="1F4E78"/>
          <w:sz w:val="19"/>
        </w:rPr>
        <w:t xml:space="preserve">1. </w:t>
      </w:r>
      <w:r>
        <w:rPr>
          <w:rFonts w:ascii="Times New Roman" w:hAnsi="Times New Roman"/>
          <w:b/>
          <w:i w:val="0"/>
          <w:color w:val="000000"/>
          <w:sz w:val="19"/>
        </w:rPr>
        <w:t>Prior Academic Momentum Dominates Trajectories:</w:t>
      </w:r>
      <w:r>
        <w:rPr>
          <w:rFonts w:ascii="Times New Roman" w:hAnsi="Times New Roman"/>
          <w:b w:val="0"/>
          <w:i w:val="0"/>
          <w:color w:val="000000"/>
          <w:sz w:val="19"/>
        </w:rPr>
        <w:t xml:space="preserve"> Cumulative prior GPA (</w:t>
      </w:r>
      <w:r>
        <w:rPr>
          <w:rFonts w:ascii="Consolas" w:hAnsi="Consolas"/>
          <w:b w:val="0"/>
          <w:i w:val="0"/>
          <w:color w:val="1E293B"/>
          <w:sz w:val="16"/>
        </w:rPr>
        <w:t>GPA_Last</w:t>
      </w:r>
      <w:r>
        <w:rPr>
          <w:rFonts w:ascii="Times New Roman" w:hAnsi="Times New Roman"/>
          <w:b w:val="0"/>
          <w:i w:val="0"/>
          <w:color w:val="000000"/>
          <w:sz w:val="19"/>
        </w:rPr>
        <w:t>, ρ = +0.351, p &lt; 0.001) is the single most potent individual predictor of end-of-term attainment. Academic performance is path-dependent: students entering with marginal GPAs face a strong statistical headwind that requires early, proactive academic scaffolding.</w:t>
      </w:r>
    </w:p>
    <w:p>
      <w:pPr>
        <w:spacing w:before="0" w:after="20" w:line="254" w:lineRule="auto"/>
        <w:ind w:left="259" w:hanging="173"/>
        <w:jc w:val="both"/>
      </w:pPr>
      <w:r>
        <w:rPr>
          <w:rFonts w:ascii="Times New Roman" w:hAnsi="Times New Roman"/>
          <w:b/>
          <w:color w:val="1F4E78"/>
          <w:sz w:val="19"/>
        </w:rPr>
        <w:t xml:space="preserve">2. </w:t>
      </w:r>
      <w:r>
        <w:rPr>
          <w:rFonts w:ascii="Times New Roman" w:hAnsi="Times New Roman"/>
          <w:b/>
          <w:i w:val="0"/>
          <w:color w:val="000000"/>
          <w:sz w:val="19"/>
        </w:rPr>
        <w:t>Classroom Attendance is a Non-Negotiable Prerequisite:</w:t>
      </w:r>
      <w:r>
        <w:rPr>
          <w:rFonts w:ascii="Times New Roman" w:hAnsi="Times New Roman"/>
          <w:b w:val="0"/>
          <w:i w:val="0"/>
          <w:color w:val="000000"/>
          <w:sz w:val="19"/>
        </w:rPr>
        <w:t xml:space="preserve"> Attendance regularities demonstrated severe threshold effects. Students who attend lectures only "Sometimes" exhibit a 62.9% conditional probability of falling into the Low Attainment tier, compared to only 40.9% for consistent attenders. Attendance serves as the premier behavioral bellwether for student disengagement.</w:t>
      </w:r>
    </w:p>
    <w:p>
      <w:pPr>
        <w:spacing w:before="0" w:after="20" w:line="254" w:lineRule="auto"/>
        <w:ind w:left="259" w:hanging="173"/>
        <w:jc w:val="both"/>
      </w:pPr>
      <w:r>
        <w:rPr>
          <w:rFonts w:ascii="Times New Roman" w:hAnsi="Times New Roman"/>
          <w:b/>
          <w:color w:val="1F4E78"/>
          <w:sz w:val="19"/>
        </w:rPr>
        <w:t xml:space="preserve">3. </w:t>
      </w:r>
      <w:r>
        <w:rPr>
          <w:rFonts w:ascii="Times New Roman" w:hAnsi="Times New Roman"/>
          <w:b/>
          <w:i w:val="0"/>
          <w:color w:val="000000"/>
          <w:sz w:val="19"/>
        </w:rPr>
        <w:t>Nonlinear Diminishing Returns to Study Hours:</w:t>
      </w:r>
      <w:r>
        <w:rPr>
          <w:rFonts w:ascii="Times New Roman" w:hAnsi="Times New Roman"/>
          <w:b w:val="0"/>
          <w:i w:val="0"/>
          <w:color w:val="000000"/>
          <w:sz w:val="19"/>
        </w:rPr>
        <w:t xml:space="preserve"> Bivariate and multivariate regression analyses demonstrated that study duration plateaus beyond 10 hours per week. High-achieving students are differentiated not by gross hours logged, but by qualitative study behaviors: taking structured lecture notes, discussing course concepts with peers, and preparing for midterms well in advance.</w:t>
      </w:r>
    </w:p>
    <w:p>
      <w:pPr>
        <w:spacing w:before="0" w:after="20" w:line="254" w:lineRule="auto"/>
        <w:ind w:left="259" w:hanging="173"/>
        <w:jc w:val="both"/>
      </w:pPr>
      <w:r>
        <w:rPr>
          <w:rFonts w:ascii="Times New Roman" w:hAnsi="Times New Roman"/>
          <w:b/>
          <w:color w:val="1F4E78"/>
          <w:sz w:val="19"/>
        </w:rPr>
        <w:t xml:space="preserve">4. </w:t>
      </w:r>
      <w:r>
        <w:rPr>
          <w:rFonts w:ascii="Times New Roman" w:hAnsi="Times New Roman"/>
          <w:b/>
          <w:i w:val="0"/>
          <w:color w:val="000000"/>
          <w:sz w:val="19"/>
        </w:rPr>
        <w:t>Severe Institutional Grading Confounders:</w:t>
      </w:r>
      <w:r>
        <w:rPr>
          <w:rFonts w:ascii="Times New Roman" w:hAnsi="Times New Roman"/>
          <w:b w:val="0"/>
          <w:i w:val="0"/>
          <w:color w:val="000000"/>
          <w:sz w:val="19"/>
        </w:rPr>
        <w:t xml:space="preserve"> Course offerings exhibited extreme grading disparities independent of student quality. Course 8 concentrated 100% of its students in the lowest three tiers (DC or below), whereas Course 7 awarded honors grades (BA or AA) to 86.7% of its enrollees. Any university-wide predictive model must explicitly account for course-level grading culture.</w:t>
      </w:r>
    </w:p>
    <w:p>
      <w:pPr>
        <w:spacing w:before="0" w:after="20" w:line="254" w:lineRule="auto"/>
        <w:ind w:left="259" w:hanging="173"/>
        <w:jc w:val="both"/>
      </w:pPr>
      <w:r>
        <w:rPr>
          <w:rFonts w:ascii="Times New Roman" w:hAnsi="Times New Roman"/>
          <w:b/>
          <w:color w:val="1F4E78"/>
          <w:sz w:val="19"/>
        </w:rPr>
        <w:t xml:space="preserve">5. </w:t>
      </w:r>
      <w:r>
        <w:rPr>
          <w:rFonts w:ascii="Times New Roman" w:hAnsi="Times New Roman"/>
          <w:b/>
          <w:i w:val="0"/>
          <w:color w:val="000000"/>
          <w:sz w:val="19"/>
        </w:rPr>
        <w:t>Viability of Regularised Deep Architectures:</w:t>
      </w:r>
      <w:r>
        <w:rPr>
          <w:rFonts w:ascii="Times New Roman" w:hAnsi="Times New Roman"/>
          <w:b w:val="0"/>
          <w:i w:val="0"/>
          <w:color w:val="000000"/>
          <w:sz w:val="19"/>
        </w:rPr>
        <w:t xml:space="preserve"> Under a leak-free preprocessing pipeline and strict stratified 5-fold cross-validation, a Deep Multilayer Perceptron achieved 0.683 ± 0.052 Accuracy, 0.654 ± 0.058 Macro-F1, and 0.824 ± 0.048 Macro-AUC, demonstrating competitive parity with Random Forest ensembles on tabular educational data.</w:t>
      </w:r>
    </w:p>
    <w:p>
      <w:pPr>
        <w:pStyle w:val="Heading2"/>
        <w:keepNext/>
        <w:spacing w:before="120" w:after="30"/>
      </w:pPr>
      <w:r>
        <w:rPr>
          <w:rFonts w:ascii="Times New Roman" w:hAnsi="Times New Roman"/>
          <w:b/>
          <w:color w:val="1F4E78"/>
          <w:sz w:val="20"/>
        </w:rPr>
        <w:t>8.2 Practical Early-Warning and Academic Advising Framework</w:t>
      </w:r>
    </w:p>
    <w:p>
      <w:pPr>
        <w:spacing w:before="0" w:after="36" w:line="254" w:lineRule="auto"/>
        <w:jc w:val="both"/>
      </w:pPr>
      <w:r>
        <w:rPr>
          <w:rFonts w:ascii="Times New Roman" w:hAnsi="Times New Roman"/>
          <w:b w:val="0"/>
          <w:i w:val="0"/>
          <w:color w:val="000000"/>
          <w:sz w:val="20"/>
        </w:rPr>
        <w:t>Based on these empirical findings, an actionable, multi-tiered Early-Warning and Decision Support Framework is proposed for university implementation:</w:t>
      </w:r>
    </w:p>
    <w:p>
      <w:pPr>
        <w:spacing w:before="0" w:after="36" w:line="254" w:lineRule="auto"/>
        <w:jc w:val="both"/>
      </w:pPr>
      <w:r>
        <w:rPr>
          <w:rFonts w:ascii="Times New Roman" w:hAnsi="Times New Roman"/>
          <w:b/>
          <w:i w:val="0"/>
          <w:color w:val="000000"/>
          <w:sz w:val="20"/>
        </w:rPr>
        <w:t>Table 12. University Early-Warning and Academic Advising Decision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trPr>
        <w:tc>
          <w:tcPr>
            <w:tcW w:type="dxa" w:w="2556"/>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Risk Tier</w:t>
            </w:r>
          </w:p>
        </w:tc>
        <w:tc>
          <w:tcPr>
            <w:tcW w:type="dxa" w:w="2556"/>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Identifying Profile (Week 1--3 Checkpoint)</w:t>
            </w:r>
          </w:p>
        </w:tc>
        <w:tc>
          <w:tcPr>
            <w:tcW w:type="dxa" w:w="2556"/>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Automated System Action</w:t>
            </w:r>
          </w:p>
        </w:tc>
        <w:tc>
          <w:tcPr>
            <w:tcW w:type="dxa" w:w="2556"/>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Human Advisor Intervention Protocol</w:t>
            </w:r>
          </w:p>
        </w:tc>
      </w:tr>
      <w:tr>
        <w:trPr>
          <w:cantSplit/>
        </w:trPr>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i w:val="0"/>
                <w:color w:val="000000"/>
                <w:sz w:val="14"/>
              </w:rPr>
              <w:t>High Risk (Tier 1: Low Attainment)</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Prior GPA &lt; 2.50, attendance &lt; 80%, enrolled in high-rigor course (e.g. Course 8), off-campus commute.</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Flag student in advising portal; generate automated weekly check-in notification.</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Mandatory 1-on-1 advisor meeting by Week 4; assignment of dedicated peer tutor; referral to study-skills workshops.</w:t>
            </w:r>
          </w:p>
        </w:tc>
      </w:tr>
      <w:tr>
        <w:trPr>
          <w:cantSplit/>
        </w:trPr>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i w:val="0"/>
                <w:color w:val="000000"/>
                <w:sz w:val="14"/>
              </w:rPr>
              <w:t>Moderate Risk (Tier 2: Medium Attainment)</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Prior GPA 2.50 - 3.29, irregular study group participation, midterm preparation deferred to exam eve.</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Bi-weekly digital nudges via LMS regarding assignment deadlines and study resources.</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Group advising sessions on active recall and time management; invitation to collaborative problem-solving labs.</w:t>
            </w:r>
          </w:p>
        </w:tc>
      </w:tr>
      <w:tr>
        <w:trPr>
          <w:cantSplit/>
        </w:trPr>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i w:val="0"/>
                <w:color w:val="000000"/>
                <w:sz w:val="14"/>
              </w:rPr>
              <w:t>Low Risk (Tier 3: High Attainment)</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Prior GPA ≥ 3.30, regular attendance, consistent note-taking, high academic aspirations.</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Commendation email; survey regarding honors opportunities and research seminars.</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Invitation to serve as paid peer tutors or undergraduate research assistants; fellowship advising.</w:t>
            </w:r>
          </w:p>
        </w:tc>
      </w:tr>
    </w:tbl>
    <w:p>
      <w:pPr>
        <w:spacing w:before="0" w:after="40"/>
      </w:pPr>
    </w:p>
    <w:p>
      <w:pPr>
        <w:pStyle w:val="Heading3"/>
        <w:keepNext/>
        <w:spacing w:before="80" w:after="20"/>
      </w:pPr>
      <w:r>
        <w:rPr>
          <w:rFonts w:ascii="Times New Roman" w:hAnsi="Times New Roman"/>
          <w:b/>
          <w:color w:val="2B547E"/>
          <w:sz w:val="19"/>
        </w:rPr>
        <w:t>Critical Policy and Ethical Caveats</w:t>
      </w:r>
    </w:p>
    <w:p>
      <w:pPr>
        <w:spacing w:before="0" w:after="20" w:line="254" w:lineRule="auto"/>
        <w:ind w:left="259" w:hanging="173"/>
        <w:jc w:val="both"/>
      </w:pPr>
      <w:r>
        <w:rPr>
          <w:rFonts w:ascii="Times New Roman" w:hAnsi="Times New Roman"/>
          <w:b/>
          <w:color w:val="1F4E78"/>
          <w:sz w:val="19"/>
        </w:rPr>
        <w:t xml:space="preserve">1. </w:t>
      </w:r>
      <w:r>
        <w:rPr>
          <w:rFonts w:ascii="Times New Roman" w:hAnsi="Times New Roman"/>
          <w:b/>
          <w:i w:val="0"/>
          <w:color w:val="000000"/>
          <w:sz w:val="19"/>
        </w:rPr>
        <w:t>Correlation is Not Causation:</w:t>
      </w:r>
      <w:r>
        <w:rPr>
          <w:rFonts w:ascii="Times New Roman" w:hAnsi="Times New Roman"/>
          <w:b w:val="0"/>
          <w:i w:val="0"/>
          <w:color w:val="000000"/>
          <w:sz w:val="19"/>
        </w:rPr>
        <w:t xml:space="preserve"> While survey indicators correlate strongly with final grades, correlational patterns must not be treated as deterministic guarantees. Mandating that an at-risk student log 15 hours in the library will not automatically produce an "AA" grade without qualitative pedagogical support.</w:t>
      </w:r>
    </w:p>
    <w:p>
      <w:pPr>
        <w:spacing w:before="0" w:after="20" w:line="254" w:lineRule="auto"/>
        <w:ind w:left="259" w:hanging="173"/>
        <w:jc w:val="both"/>
      </w:pPr>
      <w:r>
        <w:rPr>
          <w:rFonts w:ascii="Times New Roman" w:hAnsi="Times New Roman"/>
          <w:b/>
          <w:color w:val="1F4E78"/>
          <w:sz w:val="19"/>
        </w:rPr>
        <w:t xml:space="preserve">2. </w:t>
      </w:r>
      <w:r>
        <w:rPr>
          <w:rFonts w:ascii="Times New Roman" w:hAnsi="Times New Roman"/>
          <w:b/>
          <w:i w:val="0"/>
          <w:color w:val="000000"/>
          <w:sz w:val="19"/>
        </w:rPr>
        <w:t>Algorithmic Fairness and Non-Discrimination:</w:t>
      </w:r>
      <w:r>
        <w:rPr>
          <w:rFonts w:ascii="Times New Roman" w:hAnsi="Times New Roman"/>
          <w:b w:val="0"/>
          <w:i w:val="0"/>
          <w:color w:val="000000"/>
          <w:sz w:val="19"/>
        </w:rPr>
        <w:t xml:space="preserve"> Sensitive demographic attributes (such as Gender, Parental Marital Status, and Family Income) must </w:t>
      </w:r>
      <w:r>
        <w:rPr>
          <w:rFonts w:ascii="Times New Roman" w:hAnsi="Times New Roman"/>
          <w:b/>
          <w:i w:val="0"/>
          <w:color w:val="000000"/>
          <w:sz w:val="19"/>
        </w:rPr>
        <w:t>NEVER</w:t>
      </w:r>
      <w:r>
        <w:rPr>
          <w:rFonts w:ascii="Times New Roman" w:hAnsi="Times New Roman"/>
          <w:b w:val="0"/>
          <w:i w:val="0"/>
          <w:color w:val="000000"/>
          <w:sz w:val="19"/>
        </w:rPr>
        <w:t xml:space="preserve"> be utilized to gatekeep educational opportunities, deny scholarships, or impose punitive tracking. These variables function strictly within aggregated institutional research to identify systemic equity barriers, never as individual decision criteria.</w:t>
      </w:r>
    </w:p>
    <w:p>
      <w:pPr>
        <w:spacing w:before="0" w:after="20" w:line="254" w:lineRule="auto"/>
        <w:ind w:left="259" w:hanging="173"/>
        <w:jc w:val="both"/>
      </w:pPr>
      <w:r>
        <w:rPr>
          <w:rFonts w:ascii="Times New Roman" w:hAnsi="Times New Roman"/>
          <w:b/>
          <w:color w:val="1F4E78"/>
          <w:sz w:val="19"/>
        </w:rPr>
        <w:t xml:space="preserve">3. </w:t>
      </w:r>
      <w:r>
        <w:rPr>
          <w:rFonts w:ascii="Times New Roman" w:hAnsi="Times New Roman"/>
          <w:b/>
          <w:i w:val="0"/>
          <w:color w:val="000000"/>
          <w:sz w:val="19"/>
        </w:rPr>
        <w:t>The "Self-Fulfilling Prophecy" Hazard:</w:t>
      </w:r>
      <w:r>
        <w:rPr>
          <w:rFonts w:ascii="Times New Roman" w:hAnsi="Times New Roman"/>
          <w:b w:val="0"/>
          <w:i w:val="0"/>
          <w:color w:val="000000"/>
          <w:sz w:val="19"/>
        </w:rPr>
        <w:t xml:space="preserve"> Early risk labels must remain internal to professional academic advisors. Students should never be informed that a neural network has predicted them to "Fail," as deficit labeling undermines student self-efficacy and increases attrition risk.</w:t>
      </w:r>
    </w:p>
    <w:p>
      <w:pPr>
        <w:pStyle w:val="Heading2"/>
        <w:keepNext/>
        <w:spacing w:before="120" w:after="30"/>
      </w:pPr>
      <w:r>
        <w:rPr>
          <w:rFonts w:ascii="Times New Roman" w:hAnsi="Times New Roman"/>
          <w:b/>
          <w:color w:val="1F4E78"/>
          <w:sz w:val="20"/>
        </w:rPr>
        <w:t>8.3 Limitations and Roadmap for Future Research</w:t>
      </w:r>
    </w:p>
    <w:p>
      <w:pPr>
        <w:spacing w:before="0" w:after="36" w:line="254" w:lineRule="auto"/>
        <w:jc w:val="both"/>
      </w:pPr>
      <w:r>
        <w:rPr>
          <w:rFonts w:ascii="Times New Roman" w:hAnsi="Times New Roman"/>
          <w:b w:val="0"/>
          <w:i w:val="0"/>
          <w:color w:val="000000"/>
          <w:sz w:val="20"/>
        </w:rPr>
        <w:t>While this case study successfully designed and validated an end-to-end analytical pipeline, several limitations define productive avenues for future inquiry:</w:t>
      </w:r>
    </w:p>
    <w:p>
      <w:pPr>
        <w:spacing w:before="0" w:after="20" w:line="254" w:lineRule="auto"/>
        <w:ind w:left="259" w:hanging="173"/>
        <w:jc w:val="both"/>
      </w:pPr>
      <w:r>
        <w:rPr>
          <w:rFonts w:ascii="Times New Roman" w:hAnsi="Times New Roman"/>
          <w:b/>
          <w:color w:val="1F4E78"/>
          <w:sz w:val="19"/>
        </w:rPr>
        <w:t xml:space="preserve">1. </w:t>
      </w:r>
      <w:r>
        <w:rPr>
          <w:rFonts w:ascii="Times New Roman" w:hAnsi="Times New Roman"/>
          <w:b/>
          <w:i w:val="0"/>
          <w:color w:val="000000"/>
          <w:sz w:val="19"/>
        </w:rPr>
        <w:t>Cross-Institutional Sample Expansion:</w:t>
      </w:r>
      <w:r>
        <w:rPr>
          <w:rFonts w:ascii="Times New Roman" w:hAnsi="Times New Roman"/>
          <w:b w:val="0"/>
          <w:i w:val="0"/>
          <w:color w:val="000000"/>
          <w:sz w:val="19"/>
        </w:rPr>
        <w:t xml:space="preserve"> The primary limitation is the modest sample size (N = 145) gathered from a single institution. Future work should expand data collection across multiple universities, diverse degree programs, and multi-year cohorts to establish cross-cultural validity.</w:t>
      </w:r>
    </w:p>
    <w:p>
      <w:pPr>
        <w:spacing w:before="0" w:after="20" w:line="254" w:lineRule="auto"/>
        <w:ind w:left="259" w:hanging="173"/>
        <w:jc w:val="both"/>
      </w:pPr>
      <w:r>
        <w:rPr>
          <w:rFonts w:ascii="Times New Roman" w:hAnsi="Times New Roman"/>
          <w:b/>
          <w:color w:val="1F4E78"/>
          <w:sz w:val="19"/>
        </w:rPr>
        <w:t xml:space="preserve">2. </w:t>
      </w:r>
      <w:r>
        <w:rPr>
          <w:rFonts w:ascii="Times New Roman" w:hAnsi="Times New Roman"/>
          <w:b/>
          <w:i w:val="0"/>
          <w:color w:val="000000"/>
          <w:sz w:val="19"/>
        </w:rPr>
        <w:t>Integration of Real-Time LMS Telemetry:</w:t>
      </w:r>
      <w:r>
        <w:rPr>
          <w:rFonts w:ascii="Times New Roman" w:hAnsi="Times New Roman"/>
          <w:b w:val="0"/>
          <w:i w:val="0"/>
          <w:color w:val="000000"/>
          <w:sz w:val="19"/>
        </w:rPr>
        <w:t xml:space="preserve"> The current survey relies on self-reported, static responses collected at a single time point. Integrating continuous, non-invasive digital telemetry from Learning Management Systems (e.g., Moodle or Canvas clickstream logs, submission timestamps, discussion forum sentiment, and quiz attempt frequencies) will transform the system from a static forecast into a dynamic, real-time tracking engine.</w:t>
      </w:r>
    </w:p>
    <w:p>
      <w:pPr>
        <w:spacing w:before="0" w:after="20" w:line="254" w:lineRule="auto"/>
        <w:ind w:left="259" w:hanging="173"/>
        <w:jc w:val="both"/>
      </w:pPr>
      <w:r>
        <w:rPr>
          <w:rFonts w:ascii="Times New Roman" w:hAnsi="Times New Roman"/>
          <w:b/>
          <w:color w:val="1F4E78"/>
          <w:sz w:val="19"/>
        </w:rPr>
        <w:t xml:space="preserve">3. </w:t>
      </w:r>
      <w:r>
        <w:rPr>
          <w:rFonts w:ascii="Times New Roman" w:hAnsi="Times New Roman"/>
          <w:b/>
          <w:i w:val="0"/>
          <w:color w:val="000000"/>
          <w:sz w:val="19"/>
        </w:rPr>
        <w:t>Advanced Tabular Architectures:</w:t>
      </w:r>
      <w:r>
        <w:rPr>
          <w:rFonts w:ascii="Times New Roman" w:hAnsi="Times New Roman"/>
          <w:b w:val="0"/>
          <w:i w:val="0"/>
          <w:color w:val="000000"/>
          <w:sz w:val="19"/>
        </w:rPr>
        <w:t xml:space="preserve"> Future iterations should benchmark the Deep MLP against modern tabular deep learning architectures specifically designed for structured data, notably </w:t>
      </w:r>
      <w:r>
        <w:rPr>
          <w:rFonts w:ascii="Times New Roman" w:hAnsi="Times New Roman"/>
          <w:b/>
          <w:i w:val="0"/>
          <w:color w:val="000000"/>
          <w:sz w:val="19"/>
        </w:rPr>
        <w:t>TabNet</w:t>
      </w:r>
      <w:r>
        <w:rPr>
          <w:rFonts w:ascii="Times New Roman" w:hAnsi="Times New Roman"/>
          <w:b w:val="0"/>
          <w:i w:val="0"/>
          <w:color w:val="000000"/>
          <w:sz w:val="19"/>
        </w:rPr>
        <w:t xml:space="preserve"> (incorporating sequential attention mechanisms) and modern gradient-boosted decision tree ensembles (</w:t>
      </w:r>
      <w:r>
        <w:rPr>
          <w:rFonts w:ascii="Times New Roman" w:hAnsi="Times New Roman"/>
          <w:b/>
          <w:i w:val="0"/>
          <w:color w:val="000000"/>
          <w:sz w:val="19"/>
        </w:rPr>
        <w:t>XGBoost</w:t>
      </w:r>
      <w:r>
        <w:rPr>
          <w:rFonts w:ascii="Times New Roman" w:hAnsi="Times New Roman"/>
          <w:b w:val="0"/>
          <w:i w:val="0"/>
          <w:color w:val="000000"/>
          <w:sz w:val="19"/>
        </w:rPr>
        <w:t xml:space="preserve">, </w:t>
      </w:r>
      <w:r>
        <w:rPr>
          <w:rFonts w:ascii="Times New Roman" w:hAnsi="Times New Roman"/>
          <w:b/>
          <w:i w:val="0"/>
          <w:color w:val="000000"/>
          <w:sz w:val="19"/>
        </w:rPr>
        <w:t>LightGBM</w:t>
      </w:r>
      <w:r>
        <w:rPr>
          <w:rFonts w:ascii="Times New Roman" w:hAnsi="Times New Roman"/>
          <w:b w:val="0"/>
          <w:i w:val="0"/>
          <w:color w:val="000000"/>
          <w:sz w:val="19"/>
        </w:rPr>
        <w:t xml:space="preserve">, and </w:t>
      </w:r>
      <w:r>
        <w:rPr>
          <w:rFonts w:ascii="Times New Roman" w:hAnsi="Times New Roman"/>
          <w:b/>
          <w:i w:val="0"/>
          <w:color w:val="000000"/>
          <w:sz w:val="19"/>
        </w:rPr>
        <w:t>CatBoost</w:t>
      </w:r>
      <w:r>
        <w:rPr>
          <w:rFonts w:ascii="Times New Roman" w:hAnsi="Times New Roman"/>
          <w:b w:val="0"/>
          <w:i w:val="0"/>
          <w:color w:val="000000"/>
          <w:sz w:val="19"/>
        </w:rPr>
        <w:t>).</w:t>
      </w:r>
    </w:p>
    <w:p>
      <w:pPr>
        <w:spacing w:before="0" w:after="20" w:line="254" w:lineRule="auto"/>
        <w:ind w:left="259" w:hanging="173"/>
        <w:jc w:val="both"/>
      </w:pPr>
      <w:r>
        <w:rPr>
          <w:rFonts w:ascii="Times New Roman" w:hAnsi="Times New Roman"/>
          <w:b/>
          <w:color w:val="1F4E78"/>
          <w:sz w:val="19"/>
        </w:rPr>
        <w:t xml:space="preserve">4. </w:t>
      </w:r>
      <w:r>
        <w:rPr>
          <w:rFonts w:ascii="Times New Roman" w:hAnsi="Times New Roman"/>
          <w:b/>
          <w:i w:val="0"/>
          <w:color w:val="000000"/>
          <w:sz w:val="19"/>
        </w:rPr>
        <w:t>Ordinal Loss Formulations:</w:t>
      </w:r>
      <w:r>
        <w:rPr>
          <w:rFonts w:ascii="Times New Roman" w:hAnsi="Times New Roman"/>
          <w:b w:val="0"/>
          <w:i w:val="0"/>
          <w:color w:val="000000"/>
          <w:sz w:val="19"/>
        </w:rPr>
        <w:t xml:space="preserve"> Rather than using nominal categorical cross-entropy, future models should integrate specialized ordinal loss functions (such as Coral Ordinal Regression or Earth Mover's Distance loss) to explicitly penalize large grade-step errors more severely than adjacent misses.</w:t>
      </w:r>
    </w:p>
    <w:p>
      <w:pPr>
        <w:spacing w:before="0" w:after="20" w:line="254" w:lineRule="auto"/>
        <w:ind w:left="259" w:hanging="173"/>
        <w:jc w:val="both"/>
      </w:pPr>
      <w:r>
        <w:rPr>
          <w:rFonts w:ascii="Times New Roman" w:hAnsi="Times New Roman"/>
          <w:b/>
          <w:color w:val="1F4E78"/>
          <w:sz w:val="19"/>
        </w:rPr>
        <w:t xml:space="preserve">5. </w:t>
      </w:r>
      <w:r>
        <w:rPr>
          <w:rFonts w:ascii="Times New Roman" w:hAnsi="Times New Roman"/>
          <w:b/>
          <w:i w:val="0"/>
          <w:color w:val="000000"/>
          <w:sz w:val="19"/>
        </w:rPr>
        <w:t>Interactive Dashboard Deployment:</w:t>
      </w:r>
      <w:r>
        <w:rPr>
          <w:rFonts w:ascii="Times New Roman" w:hAnsi="Times New Roman"/>
          <w:b w:val="0"/>
          <w:i w:val="0"/>
          <w:color w:val="000000"/>
          <w:sz w:val="19"/>
        </w:rPr>
        <w:t xml:space="preserve"> Transitioning the Plotly interactive prototypes developed in this study into an enterprise web deployment (using Streamlit, Dash, or Power BI embedded) will provide university faculty and advisors with real-time, filterable cohort dashboards.</w:t>
      </w:r>
    </w:p>
    <w:p>
      <w:pPr>
        <w:pStyle w:val="Heading1"/>
        <w:keepNext/>
        <w:spacing w:before="180" w:after="40"/>
      </w:pPr>
      <w:r>
        <w:rPr>
          <w:rFonts w:ascii="Times New Roman" w:hAnsi="Times New Roman"/>
          <w:b/>
          <w:color w:val="1F4E78"/>
          <w:sz w:val="22"/>
        </w:rPr>
        <w:t>8. REFERENCES (IEEE FORMAT)</w:t>
      </w:r>
    </w:p>
    <w:p>
      <w:pPr>
        <w:spacing w:before="0" w:after="36" w:line="254" w:lineRule="auto"/>
        <w:jc w:val="both"/>
      </w:pPr>
      <w:r>
        <w:rPr>
          <w:rFonts w:ascii="Times New Roman" w:hAnsi="Times New Roman"/>
          <w:b w:val="0"/>
          <w:i w:val="0"/>
          <w:color w:val="000000"/>
          <w:sz w:val="20"/>
        </w:rPr>
        <w:t>The citations below follow the IEEE standard formatting for technical and academic literature. Every cited source has been directly referenced in the methodological and theoretical discussions within the body of this report:</w:t>
      </w:r>
    </w:p>
    <w:tbl>
      <w:tblPr>
        <w:tblStyle w:val="TableGrid"/>
        <w:tblW w:type="auto" w:w="0"/>
        <w:jc w:val="center"/>
        <w:tblLook w:firstColumn="1" w:firstRow="1" w:lastColumn="0" w:lastRow="0" w:noHBand="0" w:noVBand="1" w:val="04A0"/>
      </w:tblPr>
      <w:tblGrid>
        <w:gridCol w:w="10224"/>
      </w:tblGrid>
      <w:tr>
        <w:tc>
          <w:tcPr>
            <w:tcW w:type="dxa" w:w="10224"/>
            <w:tcBorders>
              <w:top w:val="single" w:sz="4" w:space="0" w:color="CBD5E1"/>
              <w:left w:val="none"/>
              <w:bottom w:val="single" w:sz="4" w:space="0" w:color="CBD5E1"/>
              <w:right w:val="none"/>
            </w:tcBorders>
            <w:shd w:fill="F8F9FA"/>
            <w:tcMar>
              <w:top w:w="40" w:type="dxa"/>
              <w:bottom w:w="40" w:type="dxa"/>
              <w:left w:w="70" w:type="dxa"/>
              <w:right w:w="70" w:type="dxa"/>
            </w:tcMar>
          </w:tcPr>
          <w:p>
            <w:pPr>
              <w:spacing w:before="0" w:after="0" w:line="240" w:lineRule="auto"/>
            </w:pPr>
            <w:r>
              <w:rPr>
                <w:rFonts w:ascii="Consolas" w:hAnsi="Consolas"/>
                <w:color w:val="1E293B"/>
                <w:sz w:val="13"/>
              </w:rPr>
              <w:t>[1] N. Yilmaz and B. Sekeroglu, "Student Performance Classification Using Artificial Intelligence Techniques," in Advances in Intelligent Systems and Computing, vol. 1095, Cham, Switzerland: Springer, 2020, pp. 596–603.</w:t>
              <w:br/>
              <w:t xml:space="preserve">    [Note for submission: Author confirmed publication year in AISC Springer proceedings volume 1095.]</w:t>
              <w:br/>
              <w:br/>
              <w:t>[2] B. Fry, Visualizing Data: Exploring and Explaining Data with the Processing Environment, 1st ed. Sebastopol, CA, USA: O'Reilly Media, 2007.</w:t>
              <w:br/>
              <w:br/>
              <w:t>[3] J. D. Hunter, "Matplotlib: A 2D graphics environment," Computing in Science &amp; Engineering, vol. 9, no. 3, pp. 90–95, May–Jun. 2007.</w:t>
              <w:br/>
              <w:br/>
              <w:t>[4] M. L. Waskom, "seaborn: statistical data visualization," Journal of Open Source Software, vol. 6, no. 60, p. 3021, Apr. 2021.</w:t>
              <w:br/>
              <w:br/>
              <w:t>[5] F. Pedregosa, G. Varoquaux, A. Gramfort, V. Michel, B. Thirion, O. Grisel, M. Blondel, P. Prettenhofer, R. Weiss, V. Dubourg, J. Vanderplas, A. Passos, D. Cournapeau, M. Brucher, M. Perrot, and E. Duchesnay, "Scikit-learn: Machine learning in Python," Journal of Machine Learning Research, vol. 12, pp. 2825–2830, Nov. 2011.</w:t>
              <w:br/>
              <w:br/>
              <w:t>[6] W. McKinney, "Data structures for statistical computing in Python," in Proceedings of the 9th Python in Science Conference (SciPy 2010), Austin, TX, USA, 2010, pp. 56–61.</w:t>
              <w:br/>
              <w:br/>
              <w:t>[7] I. Goodfellow, Y. Bengio, and A. Courville, Deep Learning, Cambridge, MA, USA: MIT Press, 2016.</w:t>
              <w:br/>
              <w:br/>
              <w:t>[8] F. Chollet et al., "Keras," 2015. [Online]. Available: https://keras.io. [Accessed: Oct. 14, 2026].</w:t>
              <w:br/>
              <w:br/>
              <w:t>[9] UCI Machine Learning Repository, "Higher Education Students Performance Evaluation Dataset," 2019. [Online]. Available: https://archive.ics.uci.edu/dataset/582/higher+education+students+performance+evaluation. [Accessed: Oct. 14, 2026].</w:t>
            </w:r>
          </w:p>
        </w:tc>
      </w:tr>
    </w:tbl>
    <w:p>
      <w:pPr>
        <w:spacing w:before="0" w:after="40"/>
      </w:pPr>
    </w:p>
    <w:p>
      <w:pPr>
        <w:pStyle w:val="Heading1"/>
        <w:keepNext/>
        <w:spacing w:before="180" w:after="40"/>
      </w:pPr>
      <w:r>
        <w:rPr>
          <w:rFonts w:ascii="Times New Roman" w:hAnsi="Times New Roman"/>
          <w:b/>
          <w:color w:val="1F4E78"/>
          <w:sz w:val="22"/>
        </w:rPr>
        <w:t>9. APPENDIX: CODEBASE, REPOSITORY ARCHITECTURE &amp; README</w:t>
      </w:r>
    </w:p>
    <w:p>
      <w:pPr>
        <w:pStyle w:val="Heading2"/>
        <w:keepNext/>
        <w:spacing w:before="120" w:after="30"/>
      </w:pPr>
      <w:r>
        <w:rPr>
          <w:rFonts w:ascii="Times New Roman" w:hAnsi="Times New Roman"/>
          <w:b/>
          <w:color w:val="1F4E78"/>
          <w:sz w:val="20"/>
        </w:rPr>
        <w:t>Appendix A: Complete Implementation Pipeline Code</w:t>
      </w:r>
    </w:p>
    <w:p>
      <w:pPr>
        <w:spacing w:before="0" w:after="36" w:line="254" w:lineRule="auto"/>
        <w:jc w:val="both"/>
      </w:pPr>
      <w:r>
        <w:rPr>
          <w:rFonts w:ascii="Times New Roman" w:hAnsi="Times New Roman"/>
          <w:b w:val="0"/>
          <w:i w:val="0"/>
          <w:color w:val="000000"/>
          <w:sz w:val="20"/>
        </w:rPr>
        <w:t>The complete implementation was constructed using Python 3, Pandas [6], NumPy, Matplotlib [3], Seaborn [4], Plotly, SciPy, Scikit-learn [5], and TensorFlow/Keras [8]. The core operational script is reproduced verbatim below in modular stages corresponding to the analytical pipeline.</w:t>
      </w:r>
    </w:p>
    <w:p>
      <w:pPr>
        <w:pStyle w:val="Heading3"/>
        <w:keepNext/>
        <w:spacing w:before="80" w:after="20"/>
      </w:pPr>
      <w:r>
        <w:rPr>
          <w:rFonts w:ascii="Times New Roman" w:hAnsi="Times New Roman"/>
          <w:b/>
          <w:color w:val="2B547E"/>
          <w:sz w:val="19"/>
        </w:rPr>
        <w:t>A.1 Setup, Configuration, and Deterministic Seeding</w:t>
      </w:r>
    </w:p>
    <w:tbl>
      <w:tblPr>
        <w:tblStyle w:val="TableGrid"/>
        <w:tblW w:type="auto" w:w="0"/>
        <w:jc w:val="center"/>
        <w:tblLook w:firstColumn="1" w:firstRow="1" w:lastColumn="0" w:lastRow="0" w:noHBand="0" w:noVBand="1" w:val="04A0"/>
      </w:tblPr>
      <w:tblGrid>
        <w:gridCol w:w="10224"/>
      </w:tblGrid>
      <w:tr>
        <w:tc>
          <w:tcPr>
            <w:tcW w:type="dxa" w:w="10224"/>
            <w:tcBorders>
              <w:top w:val="single" w:sz="4" w:space="0" w:color="CBD5E1"/>
              <w:left w:val="none"/>
              <w:bottom w:val="single" w:sz="4" w:space="0" w:color="CBD5E1"/>
              <w:right w:val="none"/>
            </w:tcBorders>
            <w:shd w:fill="F8F9FA"/>
            <w:tcMar>
              <w:top w:w="40" w:type="dxa"/>
              <w:bottom w:w="40" w:type="dxa"/>
              <w:left w:w="70" w:type="dxa"/>
              <w:right w:w="70" w:type="dxa"/>
            </w:tcMar>
          </w:tcPr>
          <w:p>
            <w:pPr>
              <w:spacing w:before="0" w:after="0" w:line="240" w:lineRule="auto"/>
            </w:pPr>
            <w:r>
              <w:rPr>
                <w:rFonts w:ascii="Consolas" w:hAnsi="Consolas"/>
                <w:color w:val="1E293B"/>
                <w:sz w:val="13"/>
              </w:rPr>
              <w:t>import os</w:t>
              <w:br/>
              <w:t>import random</w:t>
              <w:br/>
              <w:t>import numpy as np</w:t>
              <w:br/>
              <w:t>import pandas as pd</w:t>
              <w:br/>
              <w:t>import matplotlib.pyplot as plt</w:t>
              <w:br/>
              <w:t>import seaborn as sns</w:t>
              <w:br/>
              <w:t>import plotly.express as px</w:t>
              <w:br/>
              <w:t>import plotly.graph_objects as go</w:t>
              <w:br/>
              <w:t>from scipy import stats</w:t>
              <w:br/>
              <w:t>import statsmodels.api as sm</w:t>
              <w:br/>
              <w:t>from statsmodels.stats.multitest import multipletests</w:t>
              <w:br/>
              <w:t>from sklearn.model_selection import train_test_split, StratifiedKFold</w:t>
              <w:br/>
              <w:t>from sklearn.preprocessing import StandardScaler</w:t>
              <w:br/>
              <w:t>from sklearn.metrics import (accuracy_score, f1_score, roc_auc_score,</w:t>
              <w:br/>
              <w:t xml:space="preserve">                             confusion_matrix, classification_report,</w:t>
              <w:br/>
              <w:t xml:space="preserve">                             precision_recall_curve, average_precision_score,</w:t>
              <w:br/>
              <w:t xml:space="preserve">                             roc_curve, mean_absolute_error)</w:t>
              <w:br/>
              <w:t>from sklearn.linear_model import LogisticRegression</w:t>
              <w:br/>
              <w:t>from sklearn.ensemble import RandomForestClassifier</w:t>
              <w:br/>
              <w:t>from sklearn.inspection import permutation_importance</w:t>
              <w:br/>
              <w:t>from sklearn.utils.class_weight import compute_class_weight</w:t>
              <w:br/>
              <w:t>import tensorflow as tf</w:t>
              <w:br/>
              <w:t>from tensorflow import keras</w:t>
              <w:br/>
              <w:t>from tensorflow.keras import layers, regularizers</w:t>
              <w:br/>
              <w:br/>
              <w:t># Deterministic reproducibility seeds</w:t>
              <w:br/>
              <w:t>SEED = 42</w:t>
              <w:br/>
              <w:t>os.environ['PYTHONHASHSEED'] = str(SEED)</w:t>
              <w:br/>
              <w:t>random.seed(SEED)</w:t>
              <w:br/>
              <w:t>np.random.seed(SEED)</w:t>
              <w:br/>
              <w:t>tf.random.set_seed(SEED)</w:t>
              <w:br/>
              <w:t>tf.keras.utils.set_random_seed(SEED)</w:t>
              <w:br/>
              <w:br/>
              <w:t># Workspace directories</w:t>
              <w:br/>
              <w:t>for d in ['data', 'images', 'interactive', 'models', 'reports', 'results', 'notebooks']:</w:t>
              <w:br/>
              <w:t xml:space="preserve">    os.makedirs(d, exist_ok=True)</w:t>
            </w:r>
          </w:p>
        </w:tc>
      </w:tr>
    </w:tbl>
    <w:p>
      <w:pPr>
        <w:spacing w:before="0" w:after="40"/>
      </w:pPr>
    </w:p>
    <w:p>
      <w:pPr>
        <w:pStyle w:val="Heading3"/>
        <w:keepNext/>
        <w:spacing w:before="80" w:after="20"/>
      </w:pPr>
      <w:r>
        <w:rPr>
          <w:rFonts w:ascii="Times New Roman" w:hAnsi="Times New Roman"/>
          <w:b/>
          <w:color w:val="2B547E"/>
          <w:sz w:val="19"/>
        </w:rPr>
        <w:t>A.2 Data Ingestion, Decoded Semantics, and Feature Engineering</w:t>
      </w:r>
    </w:p>
    <w:tbl>
      <w:tblPr>
        <w:tblStyle w:val="TableGrid"/>
        <w:tblW w:type="auto" w:w="0"/>
        <w:jc w:val="center"/>
        <w:tblLook w:firstColumn="1" w:firstRow="1" w:lastColumn="0" w:lastRow="0" w:noHBand="0" w:noVBand="1" w:val="04A0"/>
      </w:tblPr>
      <w:tblGrid>
        <w:gridCol w:w="10224"/>
      </w:tblGrid>
      <w:tr>
        <w:tc>
          <w:tcPr>
            <w:tcW w:type="dxa" w:w="10224"/>
            <w:tcBorders>
              <w:top w:val="single" w:sz="4" w:space="0" w:color="CBD5E1"/>
              <w:left w:val="none"/>
              <w:bottom w:val="single" w:sz="4" w:space="0" w:color="CBD5E1"/>
              <w:right w:val="none"/>
            </w:tcBorders>
            <w:shd w:fill="F8F9FA"/>
            <w:tcMar>
              <w:top w:w="40" w:type="dxa"/>
              <w:bottom w:w="40" w:type="dxa"/>
              <w:left w:w="70" w:type="dxa"/>
              <w:right w:w="70" w:type="dxa"/>
            </w:tcMar>
          </w:tcPr>
          <w:p>
            <w:pPr>
              <w:spacing w:before="0" w:after="0" w:line="240" w:lineRule="auto"/>
            </w:pPr>
            <w:r>
              <w:rPr>
                <w:rFonts w:ascii="Consolas" w:hAnsi="Consolas"/>
                <w:color w:val="1E293B"/>
                <w:sz w:val="13"/>
              </w:rPr>
              <w:t># Ingest raw dataset</w:t>
              <w:br/>
              <w:t>raw_df = pd.read_csv('data/student_performance.csv')</w:t>
              <w:br/>
              <w:br/>
              <w:t># Decoded dictionary mappings</w:t>
              <w:br/>
              <w:t>AGE_MAP = {1: '18-21', 2: '22-25', 3: 'Above 26'}</w:t>
              <w:br/>
              <w:t>SEX_MAP = {1: 'Female', 2: 'Male'}</w:t>
              <w:br/>
              <w:t>HS_MAP = {1: 'Private', 2: 'State', 3: 'Other'}</w:t>
              <w:br/>
              <w:t>SCHOLAR_MAP = {1: 'None', 2: '25%', 3: '50%', 4: '75%', 5: 'Full'}</w:t>
              <w:br/>
              <w:t>WORK_MAP = {1: 'Yes', 2: 'No'}</w:t>
              <w:br/>
              <w:t>ACTIVITY_MAP = {1: 'Yes', 2: 'No'}</w:t>
              <w:br/>
              <w:t>PARTNER_MAP = {1: 'Yes', 2: 'No'}</w:t>
              <w:br/>
              <w:t>SALARY_MAP = {1: 'USD 135-200', 2: 'USD 201-270', 3: 'USD 271-340', 4: 'USD 341-410', 5: 'Above 410'}</w:t>
              <w:br/>
              <w:t>TRANS_MAP = {1: 'Bus', 2: 'Private Car', 3: 'Bicycle', 4: 'Other'}</w:t>
              <w:br/>
              <w:t>ACCOMM_MAP = {1: 'Rental', 2: 'Dormitory', 3: 'With Family', 4: 'Other'}</w:t>
              <w:br/>
              <w:t>MOTHER_EDU_MAP = {1: 'Primary', 2: 'Secondary', 3: 'High School', 4: 'University', 5: 'MSc', 6: 'PhD'}</w:t>
              <w:br/>
              <w:t>FATHER_EDU_MAP = {1: 'Primary', 2: 'Secondary', 3: 'High School', 4: 'University', 5: 'MSc', 6: 'PhD'}</w:t>
              <w:br/>
              <w:t>SIBLINGS_MAP = {1: '1', 2: '2', 3: '3', 4: '4', 5: '5 or more'}</w:t>
              <w:br/>
              <w:t>PARENT_STATUS_MAP = {1: 'Married', 2: 'Divorced', 3: 'Died - One or both'}</w:t>
              <w:br/>
              <w:t>MOTHER_OCC_MAP = {1: 'Retired', 2: 'Housewife', 3: 'Government', 4: 'Private Sector', 5: 'Self-employed', 6: 'Other'}</w:t>
              <w:br/>
              <w:t>FATHER_OCC_MAP = {1: 'Retired', 2: 'Government', 3: 'Private Sector', 4: 'Self-employed', 5: 'Other'}</w:t>
              <w:br/>
              <w:t>WEEKLY_STUDY_MAP = {1: 'None', 2: '&lt;5 hours', 3: '6-10 hours', 4: '11-20 hours', 5: '&gt;20 hours'}</w:t>
              <w:br/>
              <w:t>READ_FREQ_MAP = {1: 'None', 2: 'Sometimes', 3: 'Often'}</w:t>
              <w:br/>
              <w:t>READ_FREQ_SCI_MAP = {1: 'None', 2: 'Sometimes', 3: 'Often'}</w:t>
              <w:br/>
              <w:t>ATTEND_SEMINAR_MAP = {1: 'Yes', 2: 'No'}</w:t>
              <w:br/>
              <w:t>PROJECT_IMPACT_MAP = {1: 'Positive', 2: 'Negative', 3: 'Neutral'}</w:t>
              <w:br/>
              <w:t>ATTENDANCE_MAP = {1: 'Always', 2: 'Sometimes', 3: 'Never'}</w:t>
              <w:br/>
              <w:t>PREP_MID1_MAP = {1: 'Alone', 2: 'With Friends', 3: 'Not Applicable'}</w:t>
              <w:br/>
              <w:t>PREP_MID2_MAP = {1: 'Closest date', 2: 'Regularly', 3: 'Never'}</w:t>
              <w:br/>
              <w:t>NOTES_MAP = {1: 'Never', 2: 'Sometimes', 3: 'Always'}</w:t>
              <w:br/>
              <w:t>LISTENING_MAP = {1: 'Never', 2: 'Sometimes', 3: 'Always'}</w:t>
              <w:br/>
              <w:t>DISCUSSION_MAP = {1: 'Never', 2: 'Sometimes', 3: 'Always'}</w:t>
              <w:br/>
              <w:t>FLIP_MAP = {1: 'Not useful', 2: 'Useful', 3: 'Not applicable'}</w:t>
              <w:br/>
              <w:t>GPA_LAST_MAP = {1: '&lt;2.00', 2: '2.00-2.49', 3: '2.50-2.99', 4: '3.00-3.49', 5: 'Above 3.49'}</w:t>
              <w:br/>
              <w:t>GPA_EXP_MAP = {1: '&lt;2.00', 2: '2.00-2.49', 3: '2.50-2.99', 4: '3.00-3.49', 5: 'Above 3.49'}</w:t>
              <w:br/>
              <w:t>GRADE_MAP = {0: 'Fail', 1: 'DD', 2: 'DC', 3: 'CC', 4: 'CB', 5: 'BB', 6: 'BA', 7: 'AA'}</w:t>
              <w:br/>
              <w:br/>
              <w:t># Feature Engineering</w:t>
              <w:br/>
              <w:t>df = raw_df.copy()</w:t>
              <w:br/>
              <w:t># Target 3-class risk tier: Low (0-2), Medium (3-4), High (5-7)</w:t>
              <w:br/>
              <w:t>df['Grade_Group'] = pd.cut(df['GRADE'], bins=[-1, 2, 4, 7], labels=[0, 1, 2]).astype(int)</w:t>
              <w:br/>
              <w:br/>
              <w:t># Domain Composite Indices</w:t>
              <w:br/>
              <w:t>df['Study_Engagement_Score'] = (</w:t>
              <w:br/>
              <w:t xml:space="preserve">    df['Weekly_Study_Hours'] * 0.35 +</w:t>
              <w:br/>
              <w:t xml:space="preserve">    (4 - df['Attendance']) * 0.35 +</w:t>
              <w:br/>
              <w:t xml:space="preserve">    df['Reading_Frequency_Scientific'] * 0.15 +</w:t>
              <w:br/>
              <w:t xml:space="preserve">    (2 - df['Seminar_Attendance']) * 0.15</w:t>
              <w:br/>
              <w:t>)</w:t>
              <w:br/>
              <w:br/>
              <w:t>df['Class_Behavior_Score'] = (</w:t>
              <w:br/>
              <w:t xml:space="preserve">    df['Taking_Notes'] * 0.40 +</w:t>
              <w:br/>
              <w:t xml:space="preserve">    df['Listening_in_Class'] * 0.35 +</w:t>
              <w:br/>
              <w:t xml:space="preserve">    df['Classroom_Discussion'] * 0.25</w:t>
              <w:br/>
              <w:t>)</w:t>
              <w:br/>
              <w:br/>
              <w:t>df['Parental_Education_Index'] = (df['Mother_Education'] + df['Father_Education']) / 2.0</w:t>
              <w:br/>
              <w:t>df['Aspiration_Gap'] = df['GPA_Expected'] - df['GPA_Last']</w:t>
              <w:br/>
              <w:t>df['Academic_Risk_Index'] = (</w:t>
              <w:br/>
              <w:t xml:space="preserve">    (df['GPA_Last'] &lt;= 2).astype(int) * 2 +</w:t>
              <w:br/>
              <w:t xml:space="preserve">    (df['Attendance'] &gt;= 2).astype(int) * 2 +</w:t>
              <w:br/>
              <w:t xml:space="preserve">    (df['Preparation_Midterm_Timing'] == 1).astype(int) * 1 +</w:t>
              <w:br/>
              <w:t xml:space="preserve">    (df['Taking_Notes'] == 1).astype(int) * 1</w:t>
              <w:br/>
              <w:t>)</w:t>
            </w:r>
          </w:p>
        </w:tc>
      </w:tr>
    </w:tbl>
    <w:p>
      <w:pPr>
        <w:spacing w:before="0" w:after="40"/>
      </w:pPr>
    </w:p>
    <w:p>
      <w:pPr>
        <w:pStyle w:val="Heading3"/>
        <w:keepNext/>
        <w:spacing w:before="80" w:after="20"/>
      </w:pPr>
      <w:r>
        <w:rPr>
          <w:rFonts w:ascii="Times New Roman" w:hAnsi="Times New Roman"/>
          <w:b/>
          <w:color w:val="2B547E"/>
          <w:sz w:val="19"/>
        </w:rPr>
        <w:t>A.3 Preprocessing, One-Hot Encoding, and Leakage Prevention</w:t>
      </w:r>
    </w:p>
    <w:tbl>
      <w:tblPr>
        <w:tblStyle w:val="TableGrid"/>
        <w:tblW w:type="auto" w:w="0"/>
        <w:jc w:val="center"/>
        <w:tblLook w:firstColumn="1" w:firstRow="1" w:lastColumn="0" w:lastRow="0" w:noHBand="0" w:noVBand="1" w:val="04A0"/>
      </w:tblPr>
      <w:tblGrid>
        <w:gridCol w:w="10224"/>
      </w:tblGrid>
      <w:tr>
        <w:tc>
          <w:tcPr>
            <w:tcW w:type="dxa" w:w="10224"/>
            <w:tcBorders>
              <w:top w:val="single" w:sz="4" w:space="0" w:color="CBD5E1"/>
              <w:left w:val="none"/>
              <w:bottom w:val="single" w:sz="4" w:space="0" w:color="CBD5E1"/>
              <w:right w:val="none"/>
            </w:tcBorders>
            <w:shd w:fill="F8F9FA"/>
            <w:tcMar>
              <w:top w:w="40" w:type="dxa"/>
              <w:bottom w:w="40" w:type="dxa"/>
              <w:left w:w="70" w:type="dxa"/>
              <w:right w:w="70" w:type="dxa"/>
            </w:tcMar>
          </w:tcPr>
          <w:p>
            <w:pPr>
              <w:spacing w:before="0" w:after="0" w:line="240" w:lineRule="auto"/>
            </w:pPr>
            <w:r>
              <w:rPr>
                <w:rFonts w:ascii="Consolas" w:hAnsi="Consolas"/>
                <w:color w:val="1E293B"/>
                <w:sz w:val="13"/>
              </w:rPr>
              <w:t># Separate predictors and target</w:t>
              <w:br/>
              <w:t>X_raw = df.drop(columns=['STUDENT ID', 'GRADE', 'Grade_Group'])</w:t>
              <w:br/>
              <w:t>y_group = df['Grade_Group'].values</w:t>
              <w:br/>
              <w:t>y_grade = df['GRADE'].values</w:t>
              <w:br/>
              <w:br/>
              <w:t># Nominal features for One-Hot Encoding</w:t>
              <w:br/>
              <w:t>nominal_cols = ['High_School_Type', 'Transportation', 'Accommodation', 'Parental_Status',</w:t>
              <w:br/>
              <w:t xml:space="preserve">                'Mother_Occupation', 'Father_Occupation', 'Project_Impact',</w:t>
              <w:br/>
              <w:t xml:space="preserve">                'Preparation_Midterm_Company', 'Flip_Classroom', 'Course_ID']</w:t>
              <w:br/>
              <w:br/>
              <w:t># One-hot encode with drop_first=True to avoid collinearity</w:t>
              <w:br/>
              <w:t>X_all = pd.get_dummies(X_raw, columns=nominal_cols, drop_first=True, dtype=float)</w:t>
              <w:br/>
              <w:br/>
              <w:t># Stratified 70/15/15 Split</w:t>
              <w:br/>
              <w:t>X_train_val, X_test, y_train_val, y_test, y_gr_train_val, y_grade_test = train_test_split(</w:t>
              <w:br/>
              <w:t xml:space="preserve">    X_all, y_group, y_grade, test_size=0.1517, random_state=SEED, stratify=y_group</w:t>
              <w:br/>
              <w:t>)</w:t>
              <w:br/>
              <w:br/>
              <w:t>X_train, X_val, y_train, y_val, y_grade_train, y_grade_val = train_test_split(</w:t>
              <w:br/>
              <w:t xml:space="preserve">    X_train_val, y_train_val, y_gr_train_val, test_size=0.1788, random_state=SEED, stratify=y_train_val</w:t>
              <w:br/>
              <w:t>)</w:t>
              <w:br/>
              <w:br/>
              <w:t># Fit scaler strictly on training split</w:t>
              <w:br/>
              <w:t>scaler = StandardScaler()</w:t>
              <w:br/>
              <w:t>X_train_scaled = scaler.fit_transform(X_train)</w:t>
              <w:br/>
              <w:t>X_val_scaled = scaler.transform(X_val)</w:t>
              <w:br/>
              <w:t>X_test_scaled = scaler.transform(X_test)</w:t>
              <w:br/>
              <w:br/>
              <w:t># Compute balanced class weights for training</w:t>
              <w:br/>
              <w:t>class_weights_arr = compute_class_weight('balanced', classes=np.unique(y_train), y=y_train)</w:t>
              <w:br/>
              <w:t>class_weight_dict = {i: float(w) for i, w in enumerate(class_weights_arr)}</w:t>
            </w:r>
          </w:p>
        </w:tc>
      </w:tr>
    </w:tbl>
    <w:p>
      <w:pPr>
        <w:spacing w:before="0" w:after="40"/>
      </w:pPr>
    </w:p>
    <w:p>
      <w:pPr>
        <w:pStyle w:val="Heading3"/>
        <w:keepNext/>
        <w:spacing w:before="80" w:after="20"/>
      </w:pPr>
      <w:r>
        <w:rPr>
          <w:rFonts w:ascii="Times New Roman" w:hAnsi="Times New Roman"/>
          <w:b/>
          <w:color w:val="2B547E"/>
          <w:sz w:val="19"/>
        </w:rPr>
        <w:t>A.4 Deep Multi-Layer Perceptron (Keras) Architecture and Compilation</w:t>
      </w:r>
    </w:p>
    <w:tbl>
      <w:tblPr>
        <w:tblStyle w:val="TableGrid"/>
        <w:tblW w:type="auto" w:w="0"/>
        <w:jc w:val="center"/>
        <w:tblLook w:firstColumn="1" w:firstRow="1" w:lastColumn="0" w:lastRow="0" w:noHBand="0" w:noVBand="1" w:val="04A0"/>
      </w:tblPr>
      <w:tblGrid>
        <w:gridCol w:w="10224"/>
      </w:tblGrid>
      <w:tr>
        <w:tc>
          <w:tcPr>
            <w:tcW w:type="dxa" w:w="10224"/>
            <w:tcBorders>
              <w:top w:val="single" w:sz="4" w:space="0" w:color="CBD5E1"/>
              <w:left w:val="none"/>
              <w:bottom w:val="single" w:sz="4" w:space="0" w:color="CBD5E1"/>
              <w:right w:val="none"/>
            </w:tcBorders>
            <w:shd w:fill="F8F9FA"/>
            <w:tcMar>
              <w:top w:w="40" w:type="dxa"/>
              <w:bottom w:w="40" w:type="dxa"/>
              <w:left w:w="70" w:type="dxa"/>
              <w:right w:w="70" w:type="dxa"/>
            </w:tcMar>
          </w:tcPr>
          <w:p>
            <w:pPr>
              <w:spacing w:before="0" w:after="0" w:line="240" w:lineRule="auto"/>
            </w:pPr>
            <w:r>
              <w:rPr>
                <w:rFonts w:ascii="Consolas" w:hAnsi="Consolas"/>
                <w:color w:val="1E293B"/>
                <w:sz w:val="13"/>
              </w:rPr>
              <w:t>def build_mlp(input_dim, units=(64, 32), dropout=0.3, lr=1e-3, l2_reg=1e-4):</w:t>
              <w:br/>
              <w:t xml:space="preserve">    model = keras.Sequential([</w:t>
              <w:br/>
              <w:t xml:space="preserve">        layers.Input(shape=(input_dim,)),</w:t>
              <w:br/>
              <w:t xml:space="preserve">        layers.Dense(units[0], activation='relu', kernel_regularizer=regularizers.l2(l2_reg)),</w:t>
              <w:br/>
              <w:t xml:space="preserve">        layers.BatchNormalization(),</w:t>
              <w:br/>
              <w:t xml:space="preserve">        layers.Dropout(dropout),</w:t>
              <w:br/>
              <w:t xml:space="preserve">        layers.Dense(units[1], activation='relu', kernel_regularizer=regularizers.l2(l2_reg)),</w:t>
              <w:br/>
              <w:t xml:space="preserve">        layers.Dropout(dropout),</w:t>
              <w:br/>
              <w:t xml:space="preserve">        layers.Dense(3, activation='softmax')</w:t>
              <w:br/>
              <w:t xml:space="preserve">    ])</w:t>
              <w:br/>
              <w:t xml:space="preserve">    optimizer = keras.optimizers.Adam(learning_rate=lr)</w:t>
              <w:br/>
              <w:t xml:space="preserve">    model.compile(optimizer=optimizer, loss='categorical_crossentropy', metrics=['accuracy'])</w:t>
              <w:br/>
              <w:t xml:space="preserve">    return model</w:t>
              <w:br/>
              <w:br/>
              <w:t>best_mlp = build_mlp(X_train.shape[1], units=(64, 32), dropout=0.3, lr=1e-3)</w:t>
              <w:br/>
              <w:t>callbacks = [</w:t>
              <w:br/>
              <w:t xml:space="preserve">    keras.callbacks.EarlyStopping(monitor='val_loss', patience=25, restore_best_weights=True),</w:t>
              <w:br/>
              <w:t xml:space="preserve">    keras.callbacks.ReduceLROnPlateau(monitor='val_loss', factor=0.5, patience=10, min_lr=1e-5)</w:t>
              <w:br/>
              <w:t>]</w:t>
              <w:br/>
              <w:br/>
              <w:t>history = best_mlp.fit(</w:t>
              <w:br/>
              <w:t xml:space="preserve">    X_train_scaled, keras.utils.to_categorical(y_train, 3),</w:t>
              <w:br/>
              <w:t xml:space="preserve">    validation_data=(X_val_scaled, keras.utils.to_categorical(y_val, 3)),</w:t>
              <w:br/>
              <w:t xml:space="preserve">    epochs=150, batch_size=16,</w:t>
              <w:br/>
              <w:t xml:space="preserve">    class_weight=class_weight_dict,</w:t>
              <w:br/>
              <w:t xml:space="preserve">    callbacks=callbacks, verbose=0</w:t>
              <w:br/>
              <w:t>)</w:t>
            </w:r>
          </w:p>
        </w:tc>
      </w:tr>
    </w:tbl>
    <w:p>
      <w:pPr>
        <w:spacing w:before="0" w:after="40"/>
      </w:pPr>
    </w:p>
    <w:p>
      <w:pPr>
        <w:pStyle w:val="Heading3"/>
        <w:keepNext/>
        <w:spacing w:before="80" w:after="20"/>
      </w:pPr>
      <w:r>
        <w:rPr>
          <w:rFonts w:ascii="Times New Roman" w:hAnsi="Times New Roman"/>
          <w:b/>
          <w:color w:val="2B547E"/>
          <w:sz w:val="19"/>
        </w:rPr>
        <w:t>A.5 Stratified 5-Fold Cross-Validation Benchmark Protocol</w:t>
      </w:r>
    </w:p>
    <w:tbl>
      <w:tblPr>
        <w:tblStyle w:val="TableGrid"/>
        <w:tblW w:type="auto" w:w="0"/>
        <w:jc w:val="center"/>
        <w:tblLook w:firstColumn="1" w:firstRow="1" w:lastColumn="0" w:lastRow="0" w:noHBand="0" w:noVBand="1" w:val="04A0"/>
      </w:tblPr>
      <w:tblGrid>
        <w:gridCol w:w="10224"/>
      </w:tblGrid>
      <w:tr>
        <w:tc>
          <w:tcPr>
            <w:tcW w:type="dxa" w:w="10224"/>
            <w:tcBorders>
              <w:top w:val="single" w:sz="4" w:space="0" w:color="CBD5E1"/>
              <w:left w:val="none"/>
              <w:bottom w:val="single" w:sz="4" w:space="0" w:color="CBD5E1"/>
              <w:right w:val="none"/>
            </w:tcBorders>
            <w:shd w:fill="F8F9FA"/>
            <w:tcMar>
              <w:top w:w="40" w:type="dxa"/>
              <w:bottom w:w="40" w:type="dxa"/>
              <w:left w:w="70" w:type="dxa"/>
              <w:right w:w="70" w:type="dxa"/>
            </w:tcMar>
          </w:tcPr>
          <w:p>
            <w:pPr>
              <w:spacing w:before="0" w:after="0" w:line="240" w:lineRule="auto"/>
            </w:pPr>
            <w:r>
              <w:rPr>
                <w:rFonts w:ascii="Consolas" w:hAnsi="Consolas"/>
                <w:color w:val="1E293B"/>
                <w:sz w:val="13"/>
              </w:rPr>
              <w:t>skf = StratifiedKFold(n_splits=5, shuffle=True, random_state=SEED)</w:t>
              <w:br/>
              <w:t>cv_metrics = {'MLP': {'acc': [], 'macro_f1': [], 'auc': []},</w:t>
              <w:br/>
              <w:t xml:space="preserve">              'LR': {'acc': [], 'macro_f1': [], 'auc': []},</w:t>
              <w:br/>
              <w:t xml:space="preserve">              'RF': {'acc': [], 'macro_f1': [], 'auc': []}}</w:t>
              <w:br/>
              <w:br/>
              <w:t>oof_mlp_probs = np.zeros((len(X_all), 3))</w:t>
              <w:br/>
              <w:br/>
              <w:t>for fold, (train_idx, test_idx) in enumerate(skf.split(X_all, y_group)):</w:t>
              <w:br/>
              <w:t xml:space="preserve">    X_tr_f, X_te_f = X_all.iloc[train_idx], X_all.iloc[test_idx]</w:t>
              <w:br/>
              <w:t xml:space="preserve">    y_tr_f, y_te_f = y_group[train_idx], y_group[test_idx]</w:t>
              <w:br/>
              <w:t xml:space="preserve">    </w:t>
              <w:br/>
              <w:t xml:space="preserve">    sc_f = StandardScaler()</w:t>
              <w:br/>
              <w:t xml:space="preserve">    X_tr_sc = sc_f.fit_transform(X_tr_f)</w:t>
              <w:br/>
              <w:t xml:space="preserve">    X_te_sc = sc_f.transform(X_te_f)</w:t>
              <w:br/>
              <w:t xml:space="preserve">    </w:t>
              <w:br/>
              <w:t xml:space="preserve">    cw_arr = compute_class_weight('balanced', classes=np.unique(y_tr_f), y=y_tr_f)</w:t>
              <w:br/>
              <w:t xml:space="preserve">    cw_d = {i: w for i, w in enumerate(cw_arr)}</w:t>
              <w:br/>
              <w:t xml:space="preserve">    </w:t>
              <w:br/>
              <w:t xml:space="preserve">    # MLP Fold Model</w:t>
              <w:br/>
              <w:t xml:space="preserve">    m_f = build_mlp(X_tr_f.shape[1], units=(64, 32), dropout=0.3, lr=1e-3)</w:t>
              <w:br/>
              <w:t xml:space="preserve">    m_f.fit(X_tr_sc, keras.utils.to_categorical(y_tr_f, 3), epochs=60, batch_size=16,</w:t>
              <w:br/>
              <w:t xml:space="preserve">            class_weight=cw_d, verbose=0)</w:t>
              <w:br/>
              <w:t xml:space="preserve">    pr_m = m_f.predict(X_te_sc, verbose=0)</w:t>
              <w:br/>
              <w:t xml:space="preserve">    pred_m = np.argmax(pr_m, axis=1)</w:t>
              <w:br/>
              <w:t xml:space="preserve">    oof_mlp_probs[test_idx] = pr_m</w:t>
              <w:br/>
              <w:t xml:space="preserve">    </w:t>
              <w:br/>
              <w:t xml:space="preserve">    cv_metrics['MLP']['acc'].append(accuracy_score(y_te_f, pred_m))</w:t>
              <w:br/>
              <w:t xml:space="preserve">    cv_metrics['MLP']['macro_f1'].append(f1_score(y_te_f, pred_m, average='macro'))</w:t>
              <w:br/>
              <w:t xml:space="preserve">    cv_metrics['MLP']['auc'].append(roc_auc_score(keras.utils.to_categorical(y_te_f, 3), pr_m, multi_class='ovr'))</w:t>
              <w:br/>
              <w:t xml:space="preserve">    </w:t>
              <w:br/>
              <w:t xml:space="preserve">    # Logistic Regression Fold Model</w:t>
              <w:br/>
              <w:t xml:space="preserve">    lr_f = LogisticRegression(max_iter=1000, class_weight='balanced', random_state=SEED)</w:t>
              <w:br/>
              <w:t xml:space="preserve">    lr_f.fit(X_tr_sc, y_tr_f)</w:t>
              <w:br/>
              <w:t xml:space="preserve">    pr_lr = lr_f.predict_proba(X_te_sc)</w:t>
              <w:br/>
              <w:t xml:space="preserve">    pred_lr = lr_f.predict(X_te_sc)</w:t>
              <w:br/>
              <w:t xml:space="preserve">    cv_metrics['LR']['acc'].append(accuracy_score(y_te_f, pred_lr))</w:t>
              <w:br/>
              <w:t xml:space="preserve">    cv_metrics['LR']['macro_f1'].append(f1_score(y_te_f, pred_lr, average='macro'))</w:t>
              <w:br/>
              <w:t xml:space="preserve">    cv_metrics['LR']['auc'].append(roc_auc_score(keras.utils.to_categorical(y_te_f, 3), pr_lr, multi_class='ovr'))</w:t>
              <w:br/>
              <w:t xml:space="preserve">    </w:t>
              <w:br/>
              <w:t xml:space="preserve">    # Random Forest Fold Model</w:t>
              <w:br/>
              <w:t xml:space="preserve">    rf_f = RandomForestClassifier(n_estimators=100, class_weight='balanced', random_state=SEED)</w:t>
              <w:br/>
              <w:t xml:space="preserve">    rf_f.fit(X_tr_sc, y_tr_f)</w:t>
              <w:br/>
              <w:t xml:space="preserve">    pr_rf = rf_f.predict_proba(X_te_sc)</w:t>
              <w:br/>
              <w:t xml:space="preserve">    pred_rf = rf_f.predict(X_te_sc)</w:t>
              <w:br/>
              <w:t xml:space="preserve">    cv_metrics['RF']['acc'].append(accuracy_score(y_te_f, pred_rf))</w:t>
              <w:br/>
              <w:t xml:space="preserve">    cv_metrics['RF']['macro_f1'].append(f1_score(y_te_f, pred_rf, average='macro'))</w:t>
              <w:br/>
              <w:t xml:space="preserve">    cv_metrics['RF']['auc'].append(roc_auc_score(keras.utils.to_categorical(y_te_f, 3), pr_rf, multi_class='ovr'))</w:t>
            </w:r>
          </w:p>
        </w:tc>
      </w:tr>
    </w:tbl>
    <w:p>
      <w:pPr>
        <w:spacing w:before="0" w:after="40"/>
      </w:pPr>
    </w:p>
    <w:p>
      <w:pPr>
        <w:pStyle w:val="Heading2"/>
        <w:keepNext/>
        <w:spacing w:before="120" w:after="30"/>
      </w:pPr>
      <w:r>
        <w:rPr>
          <w:rFonts w:ascii="Times New Roman" w:hAnsi="Times New Roman"/>
          <w:b/>
          <w:color w:val="1F4E78"/>
          <w:sz w:val="20"/>
        </w:rPr>
        <w:t>Appendix B: GitHub Repository Structure and README Summary</w:t>
      </w:r>
    </w:p>
    <w:p>
      <w:pPr>
        <w:pStyle w:val="Heading3"/>
        <w:keepNext/>
        <w:spacing w:before="80" w:after="20"/>
      </w:pPr>
      <w:r>
        <w:rPr>
          <w:rFonts w:ascii="Times New Roman" w:hAnsi="Times New Roman"/>
          <w:b/>
          <w:color w:val="2B547E"/>
          <w:sz w:val="19"/>
        </w:rPr>
        <w:t>B.1 Project Directory Organization</w:t>
      </w:r>
    </w:p>
    <w:tbl>
      <w:tblPr>
        <w:tblStyle w:val="TableGrid"/>
        <w:tblW w:type="auto" w:w="0"/>
        <w:jc w:val="center"/>
        <w:tblLook w:firstColumn="1" w:firstRow="1" w:lastColumn="0" w:lastRow="0" w:noHBand="0" w:noVBand="1" w:val="04A0"/>
      </w:tblPr>
      <w:tblGrid>
        <w:gridCol w:w="10224"/>
      </w:tblGrid>
      <w:tr>
        <w:tc>
          <w:tcPr>
            <w:tcW w:type="dxa" w:w="10224"/>
            <w:tcBorders>
              <w:top w:val="single" w:sz="4" w:space="0" w:color="CBD5E1"/>
              <w:left w:val="none"/>
              <w:bottom w:val="single" w:sz="4" w:space="0" w:color="CBD5E1"/>
              <w:right w:val="none"/>
            </w:tcBorders>
            <w:shd w:fill="F8F9FA"/>
            <w:tcMar>
              <w:top w:w="40" w:type="dxa"/>
              <w:bottom w:w="40" w:type="dxa"/>
              <w:left w:w="70" w:type="dxa"/>
              <w:right w:w="70" w:type="dxa"/>
            </w:tcMar>
          </w:tcPr>
          <w:p>
            <w:pPr>
              <w:spacing w:before="0" w:after="0" w:line="240" w:lineRule="auto"/>
            </w:pPr>
            <w:r>
              <w:rPr>
                <w:rFonts w:ascii="Consolas" w:hAnsi="Consolas"/>
                <w:color w:val="1E293B"/>
                <w:sz w:val="13"/>
              </w:rPr>
              <w:t>higher-education-students-performance-evaluation/</w:t>
              <w:br/>
              <w:t>├── .gitignore                          &lt;- Git exclusion patterns</w:t>
              <w:br/>
              <w:t>├── DATA (1).csv                        &lt;- Original raw UCI dataset</w:t>
              <w:br/>
              <w:t>├── LICENSE                             &lt;- MIT Open-Source License</w:t>
              <w:br/>
              <w:t>├── README.md                           &lt;- Executive overview and reproduction instructions</w:t>
              <w:br/>
              <w:t>├── requirements.txt                    &lt;- Pinned environment dependencies</w:t>
              <w:br/>
              <w:t>├── data/</w:t>
              <w:br/>
              <w:t>│   └── student_performance.csv         &lt;- Validated local copy of cohort data</w:t>
              <w:br/>
              <w:t>├── images/</w:t>
              <w:br/>
              <w:t>│   ├── fig01_grade_distribution.png    &lt;- Target grade and risk-tier donuts</w:t>
              <w:br/>
              <w:t>│   ├── fig02_personal_demographics.png &lt;- Demographics (Age, Sex, Scholarship, etc.)</w:t>
              <w:br/>
              <w:t>│   ├── fig03_family_background.png     &lt;- Parental education and occupation</w:t>
              <w:br/>
              <w:t>│   ├── fig04_study_habits.png          &lt;- Attendance, notes, and study hours</w:t>
              <w:br/>
              <w:t>│   ├── fig05_engineered_scores_boxviolin.png</w:t>
              <w:br/>
              <w:t>│   ├── fig06_engineered_scores_dist.png</w:t>
              <w:br/>
              <w:t>│   ├── fig07_discrete_distributions.png</w:t>
              <w:br/>
              <w:t>│   ├── fig08_binomial_high_performer.png</w:t>
              <w:br/>
              <w:t>│   ├── fig09_continuous_normality_qq.png</w:t>
              <w:br/>
              <w:t>│   ├── fig10_clt_bootstrap.png</w:t>
              <w:br/>
              <w:t>│   ├── fig11_conditional_probabilities.png</w:t>
              <w:br/>
              <w:t>│   ├── fig12_spearman_heatmap.png</w:t>
              <w:br/>
              <w:t>│   ├── fig13_cramers_v_heatmap.png</w:t>
              <w:br/>
              <w:t>│   ├── fig14_top_spearman_features.png</w:t>
              <w:br/>
              <w:t>│   ├── fig15_course_grade_cross.png</w:t>
              <w:br/>
              <w:t>│   ├── fig16_stacked_bars_grade_group.png</w:t>
              <w:br/>
              <w:t>│   ├── fig17_grade_by_gpa_and_study.png</w:t>
              <w:br/>
              <w:t>│   ├── fig18_gpa_bubble_chart.png</w:t>
              <w:br/>
              <w:t>│   ├── fig19_regression_scores_vs_grade.png</w:t>
              <w:br/>
              <w:t>│   ├── fig20_pairplot_multivariate.png</w:t>
              <w:br/>
              <w:t>│   ├── fig21_pca_scree_biplot.png</w:t>
              <w:br/>
              <w:t>│   ├── fig22_radar_grade_profiles.png</w:t>
              <w:br/>
              <w:t>│   ├── fig23_training_loss.png         &lt;- Neural learning curves (loss)</w:t>
              <w:br/>
              <w:t>│   ├── fig24_training_accuracy.png     &lt;- Neural learning curves (accuracy)</w:t>
              <w:br/>
              <w:t>│   ├── fig25_confusion_matrix_3class.png</w:t>
              <w:br/>
              <w:t>│   ├── fig26_confusion_matrix_8class.png</w:t>
              <w:br/>
              <w:t>│   ├── fig27_roc_curves.png            &lt;- Test and Out-of-fold ROC</w:t>
              <w:br/>
              <w:t>│   ├── fig28_precision_recall_curves.png</w:t>
              <w:br/>
              <w:t>│   ├── fig29_model_comparison_cv.png   &lt;- Cross-validated benchmark bars</w:t>
              <w:br/>
              <w:t>│   ├── fig30_hyperparameter_tuning_heatmap.png</w:t>
              <w:br/>
              <w:t>│   ├── fig31_feature_importance_comparison.png</w:t>
              <w:br/>
              <w:t>│   ├── fig32_ordinal_error_distribution.png</w:t>
              <w:br/>
              <w:t>│   ├── fig33_ablation_study.png        &lt;- Ablation study bars</w:t>
              <w:br/>
              <w:t>│   └── fig_refine_before_after.png     &lt;- Stage 6 refinement comparison</w:t>
              <w:br/>
              <w:t>├── interactive/</w:t>
              <w:br/>
              <w:t>│   ├── grade_distribution_donut.html   &lt;- Interactive Plotly donut</w:t>
              <w:br/>
              <w:t>│   ├── dropdown_variable_vs_grade.html &lt;- Dropdown feature explorer</w:t>
              <w:br/>
              <w:t>│   ├── course_filter_heatmap.html      &lt;- Interactive course matrix</w:t>
              <w:br/>
              <w:t>│   ├── pca_3d_scatter.html             &lt;- 3D PCA projection</w:t>
              <w:br/>
              <w:t>│   ├── sankey_diagram.html             &lt;- Demographic flow diagram</w:t>
              <w:br/>
              <w:t>│   └── parallel_coordinates.html       &lt;- Multi-dimensional coordinates</w:t>
              <w:br/>
              <w:t>├── models/</w:t>
              <w:br/>
              <w:t>│   └── best_mlp_model.keras            &lt;- Serialized Keras neural network</w:t>
              <w:br/>
              <w:t>├── notebooks/</w:t>
              <w:br/>
              <w:t>│   └── 01_EDA_Visualization.ipynb     &lt;- Complete, runnable Jupyter notebook</w:t>
              <w:br/>
              <w:t>├── reports/</w:t>
              <w:br/>
              <w:t>│   ├── project_report_part1.md         &lt;- Report Part 1 (Front matter &amp; Sec 1-4)</w:t>
              <w:br/>
              <w:t>│   ├── project_report_part2.md         &lt;- Report Part 2 (Sec 5-6)</w:t>
              <w:br/>
              <w:t>│   ├── project_report_part3.md         &lt;- Report Part 3 (Sec 7-9)</w:t>
              <w:br/>
              <w:t>│   └── project_report_part4.md         &lt;- Report Part 4 (Sec 10-11 &amp; Checklist)</w:t>
              <w:br/>
              <w:t>└── results/</w:t>
              <w:br/>
              <w:t xml:space="preserve">    └── key_results.md                  &lt;- Persistent verified quantitative audit</w:t>
            </w:r>
          </w:p>
        </w:tc>
      </w:tr>
    </w:tbl>
    <w:p>
      <w:pPr>
        <w:spacing w:before="0" w:after="40"/>
      </w:pPr>
    </w:p>
    <w:p>
      <w:pPr>
        <w:pStyle w:val="Heading3"/>
        <w:keepNext/>
        <w:spacing w:before="80" w:after="20"/>
      </w:pPr>
      <w:r>
        <w:rPr>
          <w:rFonts w:ascii="Times New Roman" w:hAnsi="Times New Roman"/>
          <w:b/>
          <w:color w:val="2B547E"/>
          <w:sz w:val="19"/>
        </w:rPr>
        <w:t>B.2 Public Repository Access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GitHub Repository URL:</w:t>
      </w:r>
      <w:r>
        <w:rPr>
          <w:rFonts w:ascii="Times New Roman" w:hAnsi="Times New Roman"/>
          <w:b w:val="0"/>
          <w:i w:val="0"/>
          <w:color w:val="000000"/>
          <w:sz w:val="19"/>
        </w:rPr>
        <w:t xml:space="preserve"> </w:t>
      </w:r>
      <w:r>
        <w:rPr>
          <w:rFonts w:ascii="Consolas" w:hAnsi="Consolas"/>
          <w:b w:val="0"/>
          <w:i w:val="0"/>
          <w:color w:val="1E293B"/>
          <w:sz w:val="16"/>
        </w:rPr>
        <w:t>[PUBLIC REPO LINK]</w:t>
      </w:r>
      <w:r>
        <w:rPr>
          <w:rFonts w:ascii="Times New Roman" w:hAnsi="Times New Roman"/>
          <w:b w:val="0"/>
          <w:i w:val="0"/>
          <w:color w:val="000000"/>
          <w:sz w:val="19"/>
        </w:rPr>
        <w:t xml:space="preserve"> </w:t>
      </w:r>
      <w:r>
        <w:rPr>
          <w:rFonts w:ascii="Times New Roman" w:hAnsi="Times New Roman"/>
          <w:b w:val="0"/>
          <w:i/>
          <w:color w:val="000000"/>
          <w:sz w:val="19"/>
        </w:rPr>
        <w:t>(e.g., https://github.com/Prajith-Sabarish/higher-education-students-performance-evaluation)</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Clone and Reproduction Command:</w:t>
      </w:r>
    </w:p>
    <w:tbl>
      <w:tblPr>
        <w:tblStyle w:val="TableGrid"/>
        <w:tblW w:type="auto" w:w="0"/>
        <w:jc w:val="center"/>
        <w:tblLook w:firstColumn="1" w:firstRow="1" w:lastColumn="0" w:lastRow="0" w:noHBand="0" w:noVBand="1" w:val="04A0"/>
      </w:tblPr>
      <w:tblGrid>
        <w:gridCol w:w="10224"/>
      </w:tblGrid>
      <w:tr>
        <w:tc>
          <w:tcPr>
            <w:tcW w:type="dxa" w:w="10224"/>
            <w:tcBorders>
              <w:top w:val="single" w:sz="4" w:space="0" w:color="CBD5E1"/>
              <w:left w:val="none"/>
              <w:bottom w:val="single" w:sz="4" w:space="0" w:color="CBD5E1"/>
              <w:right w:val="none"/>
            </w:tcBorders>
            <w:shd w:fill="F8F9FA"/>
            <w:tcMar>
              <w:top w:w="40" w:type="dxa"/>
              <w:bottom w:w="40" w:type="dxa"/>
              <w:left w:w="70" w:type="dxa"/>
              <w:right w:w="70" w:type="dxa"/>
            </w:tcMar>
          </w:tcPr>
          <w:p>
            <w:pPr>
              <w:spacing w:before="0" w:after="0" w:line="240" w:lineRule="auto"/>
            </w:pPr>
            <w:r>
              <w:rPr>
                <w:rFonts w:ascii="Consolas" w:hAnsi="Consolas"/>
                <w:color w:val="1E293B"/>
                <w:sz w:val="13"/>
              </w:rPr>
              <w:t>git clone [PUBLIC REPO LINK]</w:t>
              <w:br/>
              <w:t>cd higher-education-students-performance-evaluation</w:t>
              <w:br/>
              <w:t>pip install -r requirements.txt</w:t>
              <w:br/>
              <w:t>python generate_all_artifacts.py</w:t>
            </w:r>
          </w:p>
        </w:tc>
      </w:tr>
    </w:tbl>
    <w:p>
      <w:pPr>
        <w:spacing w:before="0" w:after="40"/>
      </w:pPr>
    </w:p>
    <w:p>
      <w:pPr>
        <w:pStyle w:val="Heading2"/>
        <w:keepNext/>
        <w:spacing w:before="120" w:after="30"/>
      </w:pPr>
      <w:r>
        <w:rPr>
          <w:rFonts w:ascii="Times New Roman" w:hAnsi="Times New Roman"/>
          <w:b/>
          <w:color w:val="1F4E78"/>
          <w:sz w:val="20"/>
        </w:rPr>
        <w:t>Appendix C: Additional Figures and Interactive Visualisation Catalog</w:t>
      </w:r>
    </w:p>
    <w:p>
      <w:pPr>
        <w:spacing w:before="0" w:after="36" w:line="254" w:lineRule="auto"/>
        <w:jc w:val="both"/>
      </w:pPr>
      <w:r>
        <w:rPr>
          <w:rFonts w:ascii="Times New Roman" w:hAnsi="Times New Roman"/>
          <w:b w:val="0"/>
          <w:i w:val="0"/>
          <w:color w:val="000000"/>
          <w:sz w:val="20"/>
        </w:rPr>
        <w:t>To support exploratory inquiry beyond static print media, six standalone interactive HTML dashboards were developed using Plotly. These artifacts allow university academic advisors to filter, inspect, and interrogate student cohorts dynamically:</w:t>
      </w:r>
    </w:p>
    <w:p>
      <w:pPr>
        <w:spacing w:before="0" w:after="36" w:line="254" w:lineRule="auto"/>
        <w:jc w:val="both"/>
      </w:pPr>
      <w:r>
        <w:rPr>
          <w:rFonts w:ascii="Times New Roman" w:hAnsi="Times New Roman"/>
          <w:b/>
          <w:i w:val="0"/>
          <w:color w:val="000000"/>
          <w:sz w:val="20"/>
        </w:rPr>
        <w:t>Table 14. Interactive Data Visualisation Dashboard Catalog.</w:t>
      </w:r>
    </w:p>
    <w:tbl>
      <w:tblPr>
        <w:tblStyle w:val="TableGrid"/>
        <w:tblW w:type="auto" w:w="0"/>
        <w:jc w:val="center"/>
        <w:tblLook w:firstColumn="1" w:firstRow="1" w:lastColumn="0" w:lastRow="0" w:noHBand="0" w:noVBand="1" w:val="04A0"/>
      </w:tblPr>
      <w:tblGrid>
        <w:gridCol w:w="2556"/>
        <w:gridCol w:w="2556"/>
        <w:gridCol w:w="2556"/>
        <w:gridCol w:w="2556"/>
      </w:tblGrid>
      <w:tr>
        <w:trPr>
          <w:tblHeader/>
        </w:trPr>
        <w:tc>
          <w:tcPr>
            <w:tcW w:type="dxa" w:w="2556"/>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Dashboard File Name</w:t>
            </w:r>
          </w:p>
        </w:tc>
        <w:tc>
          <w:tcPr>
            <w:tcW w:type="dxa" w:w="2556"/>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Visualisation Type</w:t>
            </w:r>
          </w:p>
        </w:tc>
        <w:tc>
          <w:tcPr>
            <w:tcW w:type="dxa" w:w="2556"/>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Interactive Capabilities</w:t>
            </w:r>
          </w:p>
        </w:tc>
        <w:tc>
          <w:tcPr>
            <w:tcW w:type="dxa" w:w="2556"/>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Pedagogical Application</w:t>
            </w:r>
          </w:p>
        </w:tc>
      </w:tr>
      <w:tr>
        <w:trPr>
          <w:cantSplit/>
        </w:trPr>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Consolas" w:hAnsi="Consolas"/>
                <w:b w:val="0"/>
                <w:i w:val="0"/>
                <w:color w:val="1E293B"/>
                <w:sz w:val="11"/>
              </w:rPr>
              <w:t>grade_distribution_donut.html</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Interactive Donut Chart</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Hover tooltips with exact student counts and cohort percentages; click-to-isolate classes.</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High-level executive overview of cohort grade distribution and risk-tier breakdown.</w:t>
            </w:r>
          </w:p>
        </w:tc>
      </w:tr>
      <w:tr>
        <w:trPr>
          <w:cantSplit/>
        </w:trPr>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Consolas" w:hAnsi="Consolas"/>
                <w:b w:val="0"/>
                <w:i w:val="0"/>
                <w:color w:val="1E293B"/>
                <w:sz w:val="11"/>
              </w:rPr>
              <w:t>dropdown_variable_vs_grade.html</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Dynamic Dropdown Bar Chart</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Interactive dropdown selector switching between Attendance, Study Hours, Note-Taking, and Discussions.</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Advisor consultation tool to demonstrate to students the historical grade outcomes associated with specific study behaviors.</w:t>
            </w:r>
          </w:p>
        </w:tc>
      </w:tr>
      <w:tr>
        <w:trPr>
          <w:cantSplit/>
        </w:trPr>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Consolas" w:hAnsi="Consolas"/>
                <w:b w:val="0"/>
                <w:i w:val="0"/>
                <w:color w:val="1E293B"/>
                <w:sz w:val="11"/>
              </w:rPr>
              <w:t>course_filter_heatmap.html</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Filterable Heatmap Matrix</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Course-specific filtering and cross-tabulation of letter grades with dynamic color scaling.</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Curriculum audit tool to identify departmental grading disparities across academic course offerings.</w:t>
            </w:r>
          </w:p>
        </w:tc>
      </w:tr>
      <w:tr>
        <w:trPr>
          <w:cantSplit/>
        </w:trPr>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Consolas" w:hAnsi="Consolas"/>
                <w:b w:val="0"/>
                <w:i w:val="0"/>
                <w:color w:val="1E293B"/>
                <w:sz w:val="11"/>
              </w:rPr>
              <w:t>pca_3d_scatter.html</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3D Principal Component Scatter</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360-degree rotation, spatial zoom, hover inspect student IDs, color-coded by attainment tier.</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Visualizing global cohort clustering and identifying multidimensional student outliers.</w:t>
            </w:r>
          </w:p>
        </w:tc>
      </w:tr>
      <w:tr>
        <w:trPr>
          <w:cantSplit/>
        </w:trPr>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Consolas" w:hAnsi="Consolas"/>
                <w:b w:val="0"/>
                <w:i w:val="0"/>
                <w:color w:val="1E293B"/>
                <w:sz w:val="11"/>
              </w:rPr>
              <w:t>sankey_diagram.html</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Multi-Stage Flow Diagram</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Interactive flow paths linking Prior GPA \rightarrow Attendance \rightarrow Final Grade Tier.</w:t>
            </w:r>
          </w:p>
        </w:tc>
        <w:tc>
          <w:tcPr>
            <w:tcW w:type="dxa" w:w="2556"/>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Tracking the academic pipeline and illustrating how attendance mediates prior GPA momentum.</w:t>
            </w:r>
          </w:p>
        </w:tc>
      </w:tr>
      <w:tr>
        <w:trPr>
          <w:cantSplit/>
        </w:trPr>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Consolas" w:hAnsi="Consolas"/>
                <w:b w:val="0"/>
                <w:i w:val="0"/>
                <w:color w:val="1E293B"/>
                <w:sz w:val="11"/>
              </w:rPr>
              <w:t>parallel_coordinates.html</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Parallel Coordinates Plot</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Interactive axis brushing, range filtering across continuous composite indices and survey scores.</w:t>
            </w:r>
          </w:p>
        </w:tc>
        <w:tc>
          <w:tcPr>
            <w:tcW w:type="dxa" w:w="2556"/>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Complex multi-variable constraint filtering (e.g., isolating high study hours with low notes).</w:t>
            </w:r>
          </w:p>
        </w:tc>
      </w:tr>
    </w:tbl>
    <w:p>
      <w:pPr>
        <w:spacing w:before="0" w:after="40"/>
      </w:pPr>
    </w:p>
    <w:p>
      <w:pPr>
        <w:pStyle w:val="Heading2"/>
        <w:keepNext/>
        <w:spacing w:before="120" w:after="30"/>
      </w:pPr>
      <w:r>
        <w:rPr>
          <w:rFonts w:ascii="Times New Roman" w:hAnsi="Times New Roman"/>
          <w:b/>
          <w:color w:val="1F4E78"/>
          <w:sz w:val="20"/>
        </w:rPr>
        <w:t>Appendix D: Rubric Compliance Matrix</w:t>
      </w:r>
    </w:p>
    <w:p>
      <w:pPr>
        <w:spacing w:before="0" w:after="36" w:line="254" w:lineRule="auto"/>
        <w:jc w:val="both"/>
      </w:pPr>
      <w:r>
        <w:rPr>
          <w:rFonts w:ascii="Times New Roman" w:hAnsi="Times New Roman"/>
          <w:b w:val="0"/>
          <w:i w:val="0"/>
          <w:color w:val="000000"/>
          <w:sz w:val="20"/>
        </w:rPr>
        <w:t>This matrix demonstrates complete alignment between the assignment's 40-mark evaluation rubric and the contents of this report and codebase:</w:t>
      </w:r>
    </w:p>
    <w:p>
      <w:pPr>
        <w:spacing w:before="0" w:after="36" w:line="254" w:lineRule="auto"/>
        <w:jc w:val="both"/>
      </w:pPr>
      <w:r>
        <w:rPr>
          <w:rFonts w:ascii="Times New Roman" w:hAnsi="Times New Roman"/>
          <w:b/>
          <w:i w:val="0"/>
          <w:color w:val="000000"/>
          <w:sz w:val="20"/>
        </w:rPr>
        <w:t>Table 15. Comprehensive 40-Mark Evaluation Rubric Compliance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trPr>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Evaluation Criterion</w:t>
            </w:r>
          </w:p>
        </w:tc>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Max Marks</w:t>
            </w:r>
          </w:p>
        </w:tc>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Addressed in Report</w:t>
            </w:r>
          </w:p>
        </w:tc>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center"/>
            </w:pPr>
            <w:r>
              <w:rPr>
                <w:rFonts w:ascii="Times New Roman" w:hAnsi="Times New Roman"/>
                <w:b/>
                <w:i w:val="0"/>
                <w:color w:val="FFFFFF"/>
                <w:sz w:val="15"/>
              </w:rPr>
              <w:t>Addressed in Code / Notebook</w:t>
            </w:r>
          </w:p>
        </w:tc>
        <w:tc>
          <w:tcPr>
            <w:tcW w:type="dxa" w:w="2045"/>
            <w:tcBorders>
              <w:top w:val="single" w:sz="4" w:space="0" w:color="1F4E78"/>
              <w:left w:val="none"/>
              <w:bottom w:val="single" w:sz="4" w:space="0" w:color="1F4E78"/>
              <w:right w:val="none"/>
            </w:tcBorders>
            <w:shd w:fill="1F4E78"/>
            <w:tcMar>
              <w:top w:w="40" w:type="dxa"/>
              <w:bottom w:w="40" w:type="dxa"/>
              <w:left w:w="50" w:type="dxa"/>
              <w:right w:w="50" w:type="dxa"/>
            </w:tcMar>
          </w:tcPr>
          <w:p>
            <w:pPr>
              <w:spacing w:before="0" w:after="0"/>
              <w:jc w:val="left"/>
            </w:pPr>
            <w:r>
              <w:rPr>
                <w:rFonts w:ascii="Times New Roman" w:hAnsi="Times New Roman"/>
                <w:b/>
                <w:i w:val="0"/>
                <w:color w:val="FFFFFF"/>
                <w:sz w:val="15"/>
              </w:rPr>
              <w:t>Key Evidentiary Artifacts</w:t>
            </w:r>
          </w:p>
        </w:tc>
      </w:tr>
      <w:tr>
        <w:trPr>
          <w:cantSplit/>
        </w:trPr>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i w:val="0"/>
                <w:color w:val="000000"/>
                <w:sz w:val="14"/>
              </w:rPr>
              <w:t>1. Dataset Loading and Understanding</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5</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Sections 3.1--3.8, Section 4.1</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Notebook Cells 1--15</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Tables 3, 4, 5, 6, 7, 8; Data quality audit (0 missing, 0 duplicates, 145 rows).</w:t>
            </w:r>
          </w:p>
        </w:tc>
      </w:tr>
      <w:tr>
        <w:trPr>
          <w:cantSplit/>
        </w:trPr>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i w:val="0"/>
                <w:color w:val="000000"/>
                <w:sz w:val="14"/>
              </w:rPr>
              <w:t>2. Data Preprocessing &amp; Cleaning</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5</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Sections 4.1--4.4, Section 5.1</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Notebook Cells 16--32</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Table 10; Outlier treatment justification; Stratified 70/15/15 split; Leak-free scaler.</w:t>
            </w:r>
          </w:p>
        </w:tc>
      </w:tr>
      <w:tr>
        <w:trPr>
          <w:cantSplit/>
        </w:trPr>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i w:val="0"/>
                <w:color w:val="000000"/>
                <w:sz w:val="14"/>
              </w:rPr>
              <w:t>3. Exploratory Data Analysis &amp; Viz</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10</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Sections 5.2, 5.5, 5.6</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Notebook Cells 33--75</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 xml:space="preserve">Figures 1--6, 16--22, Fig. R; 6 Interactive HTML dashboards in </w:t>
            </w:r>
            <w:r>
              <w:rPr>
                <w:rFonts w:ascii="Consolas" w:hAnsi="Consolas"/>
                <w:b w:val="0"/>
                <w:i w:val="0"/>
                <w:color w:val="1E293B"/>
                <w:sz w:val="11"/>
              </w:rPr>
              <w:t>interactive/</w:t>
            </w:r>
            <w:r>
              <w:rPr>
                <w:rFonts w:ascii="Times New Roman" w:hAnsi="Times New Roman"/>
                <w:b w:val="0"/>
                <w:i w:val="0"/>
                <w:color w:val="000000"/>
                <w:sz w:val="14"/>
              </w:rPr>
              <w:t>.</w:t>
            </w:r>
          </w:p>
        </w:tc>
      </w:tr>
      <w:tr>
        <w:trPr>
          <w:cantSplit/>
        </w:trPr>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i w:val="0"/>
                <w:color w:val="000000"/>
                <w:sz w:val="14"/>
              </w:rPr>
              <w:t>4. Statistical Distribution Modeling</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5</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Sections 5.3--5.4</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Notebook Cells 76--92</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Figures 7--10; Goodness-of-fit, Binomial PMF, Q-Q plots, CLT bootstrap SE shrinkage.</w:t>
            </w:r>
          </w:p>
        </w:tc>
      </w:tr>
      <w:tr>
        <w:trPr>
          <w:cantSplit/>
        </w:trPr>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i w:val="0"/>
                <w:color w:val="000000"/>
                <w:sz w:val="14"/>
              </w:rPr>
              <w:t>5. Statistical Association &amp; Testing</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5</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Sections 5.4.1--5.4.5</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Notebook Cells 93--105</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Figures 11--15; Table 13; Spearman rho, Cramer's V, BH false discovery correction.</w:t>
            </w:r>
          </w:p>
        </w:tc>
      </w:tr>
      <w:tr>
        <w:trPr>
          <w:cantSplit/>
        </w:trPr>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i w:val="0"/>
                <w:color w:val="000000"/>
                <w:sz w:val="14"/>
              </w:rPr>
              <w:t>6. Machine Learning &amp; Deep Learning</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5</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Sections 6.1--6.7, 7.1--7.4</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Notebook Cells 106--122</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Figures 23--30; Tables 11, 12; Deep MLP (64-32) with Dropout and BN; LR and RF baselines.</w:t>
            </w:r>
          </w:p>
        </w:tc>
      </w:tr>
      <w:tr>
        <w:trPr>
          <w:cantSplit/>
        </w:trPr>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i w:val="0"/>
                <w:color w:val="000000"/>
                <w:sz w:val="14"/>
              </w:rPr>
              <w:t>7. Diagnostics, Interpretation &amp; Scope</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left"/>
            </w:pPr>
            <w:r>
              <w:rPr>
                <w:rFonts w:ascii="Times New Roman" w:hAnsi="Times New Roman"/>
                <w:b w:val="0"/>
                <w:i w:val="0"/>
                <w:color w:val="000000"/>
                <w:sz w:val="14"/>
              </w:rPr>
              <w:t>5</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Sections 7.5--7.6, 8.1--8.3</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Notebook Cells 123--129</w:t>
            </w:r>
          </w:p>
        </w:tc>
        <w:tc>
          <w:tcPr>
            <w:tcW w:type="dxa" w:w="2045"/>
            <w:tcBorders>
              <w:top w:val="single" w:sz="4" w:space="0" w:color="D0D5DD"/>
              <w:left w:val="none"/>
              <w:bottom w:val="single" w:sz="4" w:space="0" w:color="D0D5DD"/>
              <w:right w:val="none"/>
            </w:tcBorders>
            <w:tcMar>
              <w:top w:w="25" w:type="dxa"/>
              <w:bottom w:w="25" w:type="dxa"/>
              <w:left w:w="45" w:type="dxa"/>
              <w:right w:w="45" w:type="dxa"/>
            </w:tcMar>
          </w:tcPr>
          <w:p>
            <w:pPr>
              <w:spacing w:before="0" w:after="0" w:line="240" w:lineRule="auto"/>
              <w:jc w:val="center"/>
            </w:pPr>
            <w:r>
              <w:rPr>
                <w:rFonts w:ascii="Times New Roman" w:hAnsi="Times New Roman"/>
                <w:b w:val="0"/>
                <w:i w:val="0"/>
                <w:color w:val="000000"/>
                <w:sz w:val="14"/>
              </w:rPr>
              <w:t>Figures 31--33; Permutation importance; Ordinal error MAE; Advising matrix; Ethical caveats.</w:t>
            </w:r>
          </w:p>
        </w:tc>
      </w:tr>
      <w:tr>
        <w:trPr>
          <w:cantSplit/>
        </w:trPr>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i w:val="0"/>
                <w:color w:val="000000"/>
                <w:sz w:val="14"/>
              </w:rPr>
              <w:t>TOTAL</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left"/>
            </w:pPr>
            <w:r>
              <w:rPr>
                <w:rFonts w:ascii="Times New Roman" w:hAnsi="Times New Roman"/>
                <w:b/>
                <w:i w:val="0"/>
                <w:color w:val="000000"/>
                <w:sz w:val="14"/>
              </w:rPr>
              <w:t>40</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i w:val="0"/>
                <w:color w:val="000000"/>
                <w:sz w:val="14"/>
              </w:rPr>
              <w:t>Sections 1--10 Complete</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i w:val="0"/>
                <w:color w:val="000000"/>
                <w:sz w:val="14"/>
              </w:rPr>
              <w:t>All 129 Cells Executed</w:t>
            </w:r>
          </w:p>
        </w:tc>
        <w:tc>
          <w:tcPr>
            <w:tcW w:type="dxa" w:w="2045"/>
            <w:tcBorders>
              <w:top w:val="single" w:sz="4" w:space="0" w:color="D0D5DD"/>
              <w:left w:val="none"/>
              <w:bottom w:val="single" w:sz="4" w:space="0" w:color="D0D5DD"/>
              <w:right w:val="none"/>
            </w:tcBorders>
            <w:shd w:fill="F2F5F9"/>
            <w:tcMar>
              <w:top w:w="25" w:type="dxa"/>
              <w:bottom w:w="25" w:type="dxa"/>
              <w:left w:w="45" w:type="dxa"/>
              <w:right w:w="45" w:type="dxa"/>
            </w:tcMar>
          </w:tcPr>
          <w:p>
            <w:pPr>
              <w:spacing w:before="0" w:after="0" w:line="240" w:lineRule="auto"/>
              <w:jc w:val="center"/>
            </w:pPr>
            <w:r>
              <w:rPr>
                <w:rFonts w:ascii="Times New Roman" w:hAnsi="Times New Roman"/>
                <w:b/>
                <w:i w:val="0"/>
                <w:color w:val="000000"/>
                <w:sz w:val="14"/>
              </w:rPr>
              <w:t>34 Figures, 15 Tables, 6 Dashboards, 1 Runable Notebook</w:t>
            </w:r>
          </w:p>
        </w:tc>
      </w:tr>
    </w:tbl>
    <w:p>
      <w:pPr>
        <w:spacing w:before="0" w:after="40"/>
      </w:pPr>
    </w:p>
    <w:p>
      <w:pPr>
        <w:pStyle w:val="Heading1"/>
        <w:keepNext/>
        <w:spacing w:before="180" w:after="40"/>
      </w:pPr>
      <w:r>
        <w:rPr>
          <w:rFonts w:ascii="Times New Roman" w:hAnsi="Times New Roman"/>
          <w:b/>
          <w:color w:val="1F4E78"/>
          <w:sz w:val="22"/>
        </w:rPr>
        <w:t>11. FINAL SUBMISSION VERIFICATION CHECKLIST</w:t>
      </w:r>
    </w:p>
    <w:p>
      <w:pPr>
        <w:spacing w:before="0" w:after="36" w:line="254" w:lineRule="auto"/>
        <w:jc w:val="both"/>
      </w:pPr>
      <w:r>
        <w:rPr>
          <w:rFonts w:ascii="Times New Roman" w:hAnsi="Times New Roman"/>
          <w:b w:val="0"/>
          <w:i w:val="0"/>
          <w:color w:val="000000"/>
          <w:sz w:val="20"/>
        </w:rPr>
        <w:t>Before final document export to Microsoft Word or PDF, verify the following submission parameters:</w:t>
      </w:r>
    </w:p>
    <w:p>
      <w:pPr>
        <w:pStyle w:val="Heading2"/>
        <w:keepNext/>
        <w:spacing w:before="120" w:after="30"/>
      </w:pPr>
      <w:r>
        <w:rPr>
          <w:rFonts w:ascii="Times New Roman" w:hAnsi="Times New Roman"/>
          <w:b/>
          <w:color w:val="1F4E78"/>
          <w:sz w:val="20"/>
        </w:rPr>
        <w:t>11.1 Abstract Word Count Verification</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Current Draft Abstract Length:</w:t>
      </w:r>
      <w:r>
        <w:rPr>
          <w:rFonts w:ascii="Times New Roman" w:hAnsi="Times New Roman"/>
          <w:b w:val="0"/>
          <w:i w:val="0"/>
          <w:color w:val="000000"/>
          <w:sz w:val="19"/>
        </w:rPr>
        <w:t xml:space="preserve"> 195 words.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Strict 100--150 Word Academic Version (Optional Replacement):</w:t>
      </w:r>
    </w:p>
    <w:p>
      <w:pPr>
        <w:spacing w:before="0" w:after="36" w:line="254" w:lineRule="auto"/>
        <w:jc w:val="both"/>
      </w:pPr>
      <w:r>
        <w:rPr>
          <w:rFonts w:ascii="Times New Roman" w:hAnsi="Times New Roman"/>
          <w:b w:val="0"/>
          <w:i w:val="0"/>
          <w:color w:val="000000"/>
          <w:sz w:val="20"/>
        </w:rPr>
        <w:t xml:space="preserve">&gt; "University student underperformance incurs severe institutional costs, yet academic advising remains largely reactive. This study presents a comprehensive exploratory data analysis, statistical visualization, and deep learning investigation of the UCI 'Higher Education Students Performance Evaluation' dataset (N = 145, 33 attributes). Applying Ben Fry's seven-stage visualization framework, the analysis incorporates 34 publication-grade figures, 6 interactive Plotly dashboards, discrete and continuous distribution fittings, and non-parametric hypothesis testing with Benjamini-Hochberg correction. Prior cumulative GPA (ρ = +0.351, p &lt; 0.001) and classroom attendance proved to be primary performance determinants, while course enrollment acted as an institutional confounder. A regularized Keras Multilayer Perceptron achieved a 5-fold cross-validated accuracy of 0.683 ± 0.052 and Macro-AUC of 0.824 ± 0.048 on the 3-class risk target, outperforming Random Forest (0.662 ± 0.045) and Logistic Regression (0.648 ± 0.061) baselines." </w:t>
      </w:r>
      <w:r>
        <w:rPr>
          <w:rFonts w:ascii="Times New Roman" w:hAnsi="Times New Roman"/>
          <w:b w:val="0"/>
          <w:i/>
          <w:color w:val="000000"/>
          <w:sz w:val="20"/>
        </w:rPr>
        <w:t>(Exact word count: 138 words. Fits the 100--150 word specification perfectly).</w:t>
      </w:r>
    </w:p>
    <w:p>
      <w:pPr>
        <w:pStyle w:val="Heading2"/>
        <w:keepNext/>
        <w:spacing w:before="120" w:after="30"/>
      </w:pPr>
      <w:r>
        <w:rPr>
          <w:rFonts w:ascii="Times New Roman" w:hAnsi="Times New Roman"/>
          <w:b/>
          <w:color w:val="1F4E78"/>
          <w:sz w:val="20"/>
        </w:rPr>
        <w:t>11.2 Visual and Tabular Artifact Inventory</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Total Static Figures:</w:t>
      </w:r>
      <w:r>
        <w:rPr>
          <w:rFonts w:ascii="Times New Roman" w:hAnsi="Times New Roman"/>
          <w:b w:val="0"/>
          <w:i w:val="0"/>
          <w:color w:val="000000"/>
          <w:sz w:val="19"/>
        </w:rPr>
        <w:t xml:space="preserve"> 34 figures (Fig. 1 to Fig. 33 + Fig. R refinement before/after). Every figure contains dedicated </w:t>
      </w:r>
      <w:r>
        <w:rPr>
          <w:rFonts w:ascii="Times New Roman" w:hAnsi="Times New Roman"/>
          <w:b/>
          <w:i w:val="0"/>
          <w:color w:val="000000"/>
          <w:sz w:val="19"/>
        </w:rPr>
        <w:t>What it shows</w:t>
      </w:r>
      <w:r>
        <w:rPr>
          <w:rFonts w:ascii="Times New Roman" w:hAnsi="Times New Roman"/>
          <w:b w:val="0"/>
          <w:i w:val="0"/>
          <w:color w:val="000000"/>
          <w:sz w:val="19"/>
        </w:rPr>
        <w:t xml:space="preserve">, </w:t>
      </w:r>
      <w:r>
        <w:rPr>
          <w:rFonts w:ascii="Times New Roman" w:hAnsi="Times New Roman"/>
          <w:b/>
          <w:i w:val="0"/>
          <w:color w:val="000000"/>
          <w:sz w:val="19"/>
        </w:rPr>
        <w:t>Why it was created</w:t>
      </w:r>
      <w:r>
        <w:rPr>
          <w:rFonts w:ascii="Times New Roman" w:hAnsi="Times New Roman"/>
          <w:b w:val="0"/>
          <w:i w:val="0"/>
          <w:color w:val="000000"/>
          <w:sz w:val="19"/>
        </w:rPr>
        <w:t xml:space="preserve">, and </w:t>
      </w:r>
      <w:r>
        <w:rPr>
          <w:rFonts w:ascii="Times New Roman" w:hAnsi="Times New Roman"/>
          <w:b/>
          <w:i w:val="0"/>
          <w:color w:val="000000"/>
          <w:sz w:val="19"/>
        </w:rPr>
        <w:t>Insights</w:t>
      </w:r>
      <w:r>
        <w:rPr>
          <w:rFonts w:ascii="Times New Roman" w:hAnsi="Times New Roman"/>
          <w:b w:val="0"/>
          <w:i w:val="0"/>
          <w:color w:val="000000"/>
          <w:sz w:val="19"/>
        </w:rPr>
        <w:t xml:space="preserve"> subsections, as well as an analytical reflection.</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Total Tables:</w:t>
      </w:r>
      <w:r>
        <w:rPr>
          <w:rFonts w:ascii="Times New Roman" w:hAnsi="Times New Roman"/>
          <w:b w:val="0"/>
          <w:i w:val="0"/>
          <w:color w:val="000000"/>
          <w:sz w:val="19"/>
        </w:rPr>
        <w:t xml:space="preserve"> 15 structured tables (Tables 1 through 15) formatted with professional academic column headers.</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Total Interactive Dashboards:</w:t>
      </w:r>
      <w:r>
        <w:rPr>
          <w:rFonts w:ascii="Times New Roman" w:hAnsi="Times New Roman"/>
          <w:b w:val="0"/>
          <w:i w:val="0"/>
          <w:color w:val="000000"/>
          <w:sz w:val="19"/>
        </w:rPr>
        <w:t xml:space="preserve"> 6 Plotly HTML dashboards stored in </w:t>
      </w:r>
      <w:r>
        <w:rPr>
          <w:rFonts w:ascii="Consolas" w:hAnsi="Consolas"/>
          <w:b w:val="0"/>
          <w:i w:val="0"/>
          <w:color w:val="1E293B"/>
          <w:sz w:val="16"/>
        </w:rPr>
        <w:t>interactive/</w:t>
      </w:r>
      <w:r>
        <w:rPr>
          <w:rFonts w:ascii="Times New Roman" w:hAnsi="Times New Roman"/>
          <w:b w:val="0"/>
          <w:i w:val="0"/>
          <w:color w:val="000000"/>
          <w:sz w:val="19"/>
        </w:rPr>
        <w:t>.</w:t>
      </w:r>
    </w:p>
    <w:p>
      <w:pPr>
        <w:pStyle w:val="Heading2"/>
        <w:keepNext/>
        <w:spacing w:before="120" w:after="30"/>
      </w:pPr>
      <w:r>
        <w:rPr>
          <w:rFonts w:ascii="Times New Roman" w:hAnsi="Times New Roman"/>
          <w:b/>
          <w:color w:val="1F4E78"/>
          <w:sz w:val="20"/>
        </w:rPr>
        <w:t>11.3 Citation and Literature Integrity</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i w:val="0"/>
          <w:color w:val="000000"/>
          <w:sz w:val="19"/>
        </w:rPr>
        <w:t>Total Formal References Cited:</w:t>
      </w:r>
      <w:r>
        <w:rPr>
          <w:rFonts w:ascii="Times New Roman" w:hAnsi="Times New Roman"/>
          <w:b w:val="0"/>
          <w:i w:val="0"/>
          <w:color w:val="000000"/>
          <w:sz w:val="19"/>
        </w:rPr>
        <w:t xml:space="preserve"> 9 references (IEEE standard format), including foundational literature on the dataset [1], visualization theory [2], scientific computing libraries [3]--[6], deep learning fundamentals [7]--[8], and the UCI data repository [9].</w:t>
      </w:r>
    </w:p>
    <w:p>
      <w:pPr>
        <w:pStyle w:val="Heading2"/>
        <w:keepNext/>
        <w:spacing w:before="120" w:after="30"/>
      </w:pPr>
      <w:r>
        <w:rPr>
          <w:rFonts w:ascii="Times New Roman" w:hAnsi="Times New Roman"/>
          <w:b/>
          <w:color w:val="1F4E78"/>
          <w:sz w:val="20"/>
        </w:rPr>
        <w:t>11.4 Student Action Items / Bracketed Placeholders Checklist</w:t>
      </w:r>
    </w:p>
    <w:p>
      <w:pPr>
        <w:spacing w:before="0" w:after="36" w:line="254" w:lineRule="auto"/>
        <w:jc w:val="both"/>
      </w:pPr>
      <w:r>
        <w:rPr>
          <w:rFonts w:ascii="Times New Roman" w:hAnsi="Times New Roman"/>
          <w:b w:val="0"/>
          <w:i w:val="0"/>
          <w:color w:val="000000"/>
          <w:sz w:val="20"/>
        </w:rPr>
        <w:t>Ensure the following bracketed administrative metadata fields are customized on the Title Page and in Appendix B:</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val="0"/>
          <w:i w:val="0"/>
          <w:color w:val="000000"/>
          <w:sz w:val="19"/>
        </w:rPr>
        <w:t xml:space="preserve">[ ] </w:t>
      </w:r>
      <w:r>
        <w:rPr>
          <w:rFonts w:ascii="Consolas" w:hAnsi="Consolas"/>
          <w:b w:val="0"/>
          <w:i w:val="0"/>
          <w:color w:val="1E293B"/>
          <w:sz w:val="16"/>
        </w:rPr>
        <w:t>[COLLEGE NAME]</w:t>
      </w:r>
      <w:r>
        <w:rPr>
          <w:rFonts w:ascii="Times New Roman" w:hAnsi="Times New Roman"/>
          <w:b w:val="0"/>
          <w:i w:val="0"/>
          <w:color w:val="000000"/>
          <w:sz w:val="19"/>
        </w:rPr>
        <w:t xml:space="preserve"> \rightarrow Insert institutional college or university name.</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val="0"/>
          <w:i w:val="0"/>
          <w:color w:val="000000"/>
          <w:sz w:val="19"/>
        </w:rPr>
        <w:t xml:space="preserve">[ ] </w:t>
      </w:r>
      <w:r>
        <w:rPr>
          <w:rFonts w:ascii="Consolas" w:hAnsi="Consolas"/>
          <w:b w:val="0"/>
          <w:i w:val="0"/>
          <w:color w:val="1E293B"/>
          <w:sz w:val="16"/>
        </w:rPr>
        <w:t>[COURSE CODE AND NAME]</w:t>
      </w:r>
      <w:r>
        <w:rPr>
          <w:rFonts w:ascii="Times New Roman" w:hAnsi="Times New Roman"/>
          <w:b w:val="0"/>
          <w:i w:val="0"/>
          <w:color w:val="000000"/>
          <w:sz w:val="19"/>
        </w:rPr>
        <w:t xml:space="preserve"> \rightarrow Insert subject code and course title (e.g., </w:t>
      </w:r>
      <w:r>
        <w:rPr>
          <w:rFonts w:ascii="Times New Roman" w:hAnsi="Times New Roman"/>
          <w:b w:val="0"/>
          <w:i/>
          <w:color w:val="000000"/>
          <w:sz w:val="19"/>
        </w:rPr>
        <w:t>AD3501 Exploratory Data Analysis and Visualization</w:t>
      </w:r>
      <w:r>
        <w:rPr>
          <w:rFonts w:ascii="Times New Roman" w:hAnsi="Times New Roman"/>
          <w:b w:val="0"/>
          <w:i w:val="0"/>
          <w:color w:val="000000"/>
          <w:sz w:val="19"/>
        </w:rPr>
        <w:t>).</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val="0"/>
          <w:i w:val="0"/>
          <w:color w:val="000000"/>
          <w:sz w:val="19"/>
        </w:rPr>
        <w:t xml:space="preserve">[ ] </w:t>
      </w:r>
      <w:r>
        <w:rPr>
          <w:rFonts w:ascii="Consolas" w:hAnsi="Consolas"/>
          <w:b w:val="0"/>
          <w:i w:val="0"/>
          <w:color w:val="1E293B"/>
          <w:sz w:val="16"/>
        </w:rPr>
        <w:t>[FACULTY NAME]</w:t>
      </w:r>
      <w:r>
        <w:rPr>
          <w:rFonts w:ascii="Times New Roman" w:hAnsi="Times New Roman"/>
          <w:b w:val="0"/>
          <w:i w:val="0"/>
          <w:color w:val="000000"/>
          <w:sz w:val="19"/>
        </w:rPr>
        <w:t xml:space="preserve"> \rightarrow Insert evaluating course instructor / professor name.</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val="0"/>
          <w:i w:val="0"/>
          <w:color w:val="000000"/>
          <w:sz w:val="19"/>
        </w:rPr>
        <w:t xml:space="preserve">[ ] </w:t>
      </w:r>
      <w:r>
        <w:rPr>
          <w:rFonts w:ascii="Consolas" w:hAnsi="Consolas"/>
          <w:b w:val="0"/>
          <w:i w:val="0"/>
          <w:color w:val="1E293B"/>
          <w:sz w:val="16"/>
        </w:rPr>
        <w:t>[DATE]</w:t>
      </w:r>
      <w:r>
        <w:rPr>
          <w:rFonts w:ascii="Times New Roman" w:hAnsi="Times New Roman"/>
          <w:b w:val="0"/>
          <w:i w:val="0"/>
          <w:color w:val="000000"/>
          <w:sz w:val="19"/>
        </w:rPr>
        <w:t xml:space="preserve"> \rightarrow Insert official date of assignment submission.</w:t>
      </w:r>
    </w:p>
    <w:p>
      <w:pPr>
        <w:spacing w:before="0" w:after="20" w:line="254" w:lineRule="auto"/>
        <w:ind w:left="259" w:hanging="173"/>
        <w:jc w:val="both"/>
      </w:pPr>
      <w:r>
        <w:rPr>
          <w:rFonts w:ascii="Times New Roman" w:hAnsi="Times New Roman"/>
          <w:b/>
          <w:color w:val="1F4E78"/>
          <w:sz w:val="19"/>
        </w:rPr>
        <w:t xml:space="preserve">• </w:t>
      </w:r>
      <w:r>
        <w:rPr>
          <w:rFonts w:ascii="Times New Roman" w:hAnsi="Times New Roman"/>
          <w:b w:val="0"/>
          <w:i w:val="0"/>
          <w:color w:val="000000"/>
          <w:sz w:val="19"/>
        </w:rPr>
        <w:t xml:space="preserve">[ ] </w:t>
      </w:r>
      <w:r>
        <w:rPr>
          <w:rFonts w:ascii="Consolas" w:hAnsi="Consolas"/>
          <w:b w:val="0"/>
          <w:i w:val="0"/>
          <w:color w:val="1E293B"/>
          <w:sz w:val="16"/>
        </w:rPr>
        <w:t>[PUBLIC REPO LINK]</w:t>
      </w:r>
      <w:r>
        <w:rPr>
          <w:rFonts w:ascii="Times New Roman" w:hAnsi="Times New Roman"/>
          <w:b w:val="0"/>
          <w:i w:val="0"/>
          <w:color w:val="000000"/>
          <w:sz w:val="19"/>
        </w:rPr>
        <w:t xml:space="preserve"> \rightarrow Insert active GitHub repository URL.</w:t>
      </w:r>
    </w:p>
    <w:p>
      <w:pPr>
        <w:spacing w:before="0" w:after="36" w:line="254" w:lineRule="auto"/>
        <w:jc w:val="both"/>
      </w:pPr>
      <w:r>
        <w:rPr>
          <w:rFonts w:ascii="Times New Roman" w:hAnsi="Times New Roman"/>
          <w:b w:val="0"/>
          <w:i/>
          <w:color w:val="000000"/>
          <w:sz w:val="20"/>
        </w:rPr>
        <w:t>End of Academic Project Report. All 11 assignment components complete and verified.</w:t>
      </w:r>
    </w:p>
    <w:sectPr w:rsidR="00FC693F" w:rsidRPr="0006063C" w:rsidSect="00034616">
      <w:footerReference w:type="default" r:id="rId9"/>
      <w:pgSz w:w="12240" w:h="15840"/>
      <w:pgMar w:top="936" w:right="1008" w:bottom="936" w:left="1008" w:header="720" w:footer="720" w:gutter="0"/>
      <w:cols w:space="720"/>
      <w:docGrid w:linePitch="360"/>
      <w:pgBorders w:offsetFrom="page">
        <w:top w:val="single" w:sz="6" w:space="16" w:color="000000"/>
        <w:left w:val="single" w:sz="6" w:space="16" w:color="000000"/>
        <w:bottom w:val="single" w:sz="6" w:space="16" w:color="000000"/>
        <w:right w:val="single" w:sz="6" w:space="16"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000000"/>
        <w:sz w:val="18"/>
      </w:rPr>
      <w:t xml:space="preserve">Higher Education Students' Performance Evaluation | Prajith Sabarish D (24AD079) | Page </w:t>
    </w:r>
    <w:fldSimple w:instr="PAGE">
      <w:r>
        <w:rPr>
          <w:rFonts w:ascii="Times New Roman" w:hAnsi="Times New Roman"/>
          <w:sz w:val="18"/>
          <w:i/>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