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DCD8" w14:textId="77777777" w:rsidR="00952D0B" w:rsidRPr="00952D0B" w:rsidRDefault="00952D0B" w:rsidP="00952D0B">
      <w:pPr>
        <w:rPr>
          <w:rFonts w:ascii="Times New Roman" w:hAnsi="Times New Roman" w:cs="Times New Roman"/>
          <w:b/>
          <w:bCs/>
          <w:sz w:val="36"/>
          <w:szCs w:val="36"/>
        </w:rPr>
      </w:pPr>
      <w:r w:rsidRPr="00952D0B">
        <w:rPr>
          <w:rFonts w:ascii="Times New Roman" w:hAnsi="Times New Roman" w:cs="Times New Roman"/>
          <w:b/>
          <w:bCs/>
          <w:sz w:val="36"/>
          <w:szCs w:val="36"/>
        </w:rPr>
        <w:t>Healthcare Data Analysis Report: Patient Readmission Patterns and Evidence-Based Recommendations</w:t>
      </w:r>
    </w:p>
    <w:p w14:paraId="0DB92822"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 Executive Summary</w:t>
      </w:r>
    </w:p>
    <w:p w14:paraId="134555C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This report presents a structured analytical assessment of patient readmission patterns using the </w:t>
      </w:r>
      <w:r w:rsidRPr="00952D0B">
        <w:rPr>
          <w:rFonts w:ascii="Times New Roman" w:hAnsi="Times New Roman" w:cs="Times New Roman"/>
          <w:b/>
          <w:bCs/>
        </w:rPr>
        <w:t>Diabetes 130-US Hospitals for Years 1999–2008</w:t>
      </w:r>
      <w:r w:rsidRPr="00952D0B">
        <w:rPr>
          <w:rFonts w:ascii="Times New Roman" w:hAnsi="Times New Roman" w:cs="Times New Roman"/>
        </w:rPr>
        <w:t xml:space="preserve"> dataset. The project focuses on understanding factors associated with hospital readmission among patients with diabetes and translating analytical findings into practical recommendations for healthcare decision-making.</w:t>
      </w:r>
    </w:p>
    <w:p w14:paraId="65F87A5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analysis framework includes data preparation, descriptive statistical analysis, exploratory data analysis, statistical testing, and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The target variable is readmitted, which contains three categories: readmitted within 30 days (&lt;30), readmitted after 30 days (&gt;30), and not readmitted (NO).</w:t>
      </w:r>
    </w:p>
    <w:p w14:paraId="0879A37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proposed analysis considers demographic characteristics, hospital utilization, length of stay, diagnoses, procedures, laboratory information, and medication-related variables.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will consider Logistic Regression, Decision Tree, and Random Forest approaches, with cross-validation and appropriate classification metrics used to assess model performance.</w:t>
      </w:r>
    </w:p>
    <w:p w14:paraId="3D81A40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findings are intended to identify patterns that may help healthcare stakeholders understand readmission risk and areas requiring further investigation. Recommendations focus on improved discharge planning, targeted follow-up, identification of higher-risk patient groups, improved data quality, and responsible use of predictive analytics.</w:t>
      </w:r>
    </w:p>
    <w:p w14:paraId="317DEA5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Because this report is based on a methodological project in which actual numerical analysis is not required at this stage, numerical model results are not fabricated. Expected analytical insights are clearly distinguished from verified findings.</w:t>
      </w:r>
    </w:p>
    <w:p w14:paraId="46950BD6" w14:textId="29F18C13" w:rsidR="00952D0B" w:rsidRPr="00952D0B" w:rsidRDefault="00952D0B" w:rsidP="00952D0B">
      <w:pPr>
        <w:rPr>
          <w:rFonts w:ascii="Times New Roman" w:hAnsi="Times New Roman" w:cs="Times New Roman"/>
        </w:rPr>
      </w:pPr>
    </w:p>
    <w:p w14:paraId="5EF3FBF7"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2. Introduction</w:t>
      </w:r>
    </w:p>
    <w:p w14:paraId="511609C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Hospital readmission is an important healthcare quality indicator because repeated hospitalizations can increase healthcare costs, affect hospital resources, and indicate potential challenges in patient care, discharge planning, follow-up, or disease management.</w:t>
      </w:r>
    </w:p>
    <w:p w14:paraId="5582B37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Patients with diabetes may require continuous monitoring and coordinated care because diabetes can be associated with multiple complications and other chronic conditions. Understanding patterns related to hospital readmission can therefore support healthcare organizations in identifying areas for quality improvement.</w:t>
      </w:r>
    </w:p>
    <w:p w14:paraId="122CE78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This project uses the Diabetes 130-US Hospitals for Years 1999–2008 dataset to develop a structured approach for </w:t>
      </w:r>
      <w:proofErr w:type="spellStart"/>
      <w:r w:rsidRPr="00952D0B">
        <w:rPr>
          <w:rFonts w:ascii="Times New Roman" w:hAnsi="Times New Roman" w:cs="Times New Roman"/>
        </w:rPr>
        <w:t>analyzing</w:t>
      </w:r>
      <w:proofErr w:type="spellEnd"/>
      <w:r w:rsidRPr="00952D0B">
        <w:rPr>
          <w:rFonts w:ascii="Times New Roman" w:hAnsi="Times New Roman" w:cs="Times New Roman"/>
        </w:rPr>
        <w:t xml:space="preserve"> patient readmission patterns.</w:t>
      </w:r>
    </w:p>
    <w:p w14:paraId="5FBBF2F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project combines statistical analysis, data visualization, and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to transform healthcare data into information that can be communicated to both technical and non-technical stakeholders.</w:t>
      </w:r>
    </w:p>
    <w:p w14:paraId="48642F3D" w14:textId="0B753150" w:rsidR="00952D0B" w:rsidRPr="00952D0B" w:rsidRDefault="00952D0B" w:rsidP="00952D0B">
      <w:pPr>
        <w:rPr>
          <w:rFonts w:ascii="Times New Roman" w:hAnsi="Times New Roman" w:cs="Times New Roman"/>
        </w:rPr>
      </w:pPr>
    </w:p>
    <w:p w14:paraId="467524A1"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3. Background and Problem Statement</w:t>
      </w:r>
    </w:p>
    <w:p w14:paraId="170B1CC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Hospital readmissions represent a significant challenge for healthcare organizations. A patient may return to the hospital because of disease-related complications, inadequate follow-up, medication-related issues, comorbidities, or other factors.</w:t>
      </w:r>
    </w:p>
    <w:p w14:paraId="205C453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lastRenderedPageBreak/>
        <w:t>However, readmission data should be interpreted carefully. A statistical association between a patient characteristic and readmission does not necessarily mean that the characteristic directly causes readmission.</w:t>
      </w:r>
    </w:p>
    <w:p w14:paraId="0ED8A5BA"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central problem addressed by this project is:</w:t>
      </w:r>
    </w:p>
    <w:p w14:paraId="285A9A60" w14:textId="77777777" w:rsidR="00952D0B" w:rsidRPr="00952D0B" w:rsidRDefault="00952D0B" w:rsidP="00952D0B">
      <w:pPr>
        <w:rPr>
          <w:rFonts w:ascii="Times New Roman" w:hAnsi="Times New Roman" w:cs="Times New Roman"/>
        </w:rPr>
      </w:pPr>
      <w:r w:rsidRPr="00952D0B">
        <w:rPr>
          <w:rFonts w:ascii="Times New Roman" w:hAnsi="Times New Roman" w:cs="Times New Roman"/>
          <w:b/>
          <w:bCs/>
        </w:rPr>
        <w:t xml:space="preserve">How can healthcare data be </w:t>
      </w:r>
      <w:proofErr w:type="spellStart"/>
      <w:r w:rsidRPr="00952D0B">
        <w:rPr>
          <w:rFonts w:ascii="Times New Roman" w:hAnsi="Times New Roman" w:cs="Times New Roman"/>
          <w:b/>
          <w:bCs/>
        </w:rPr>
        <w:t>analyzed</w:t>
      </w:r>
      <w:proofErr w:type="spellEnd"/>
      <w:r w:rsidRPr="00952D0B">
        <w:rPr>
          <w:rFonts w:ascii="Times New Roman" w:hAnsi="Times New Roman" w:cs="Times New Roman"/>
          <w:b/>
          <w:bCs/>
        </w:rPr>
        <w:t xml:space="preserve"> to identify meaningful patterns associated with patient readmission and translate those patterns into responsible, evidence-based recommendations?</w:t>
      </w:r>
    </w:p>
    <w:p w14:paraId="36E12B7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project aims to provide a systematic analytical framework that can support healthcare quality improvement while recognizing the limitations and ethical considerations associated with healthcare data.</w:t>
      </w:r>
    </w:p>
    <w:p w14:paraId="774E59B6" w14:textId="6B5087C3" w:rsidR="00952D0B" w:rsidRPr="00952D0B" w:rsidRDefault="00952D0B" w:rsidP="00952D0B">
      <w:pPr>
        <w:rPr>
          <w:rFonts w:ascii="Times New Roman" w:hAnsi="Times New Roman" w:cs="Times New Roman"/>
        </w:rPr>
      </w:pPr>
    </w:p>
    <w:p w14:paraId="13D48C43"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4. Project Objectives</w:t>
      </w:r>
    </w:p>
    <w:p w14:paraId="5C15A49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main objectives are:</w:t>
      </w:r>
    </w:p>
    <w:p w14:paraId="4558A5FA"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Examine the distribution of hospital readmission outcomes.</w:t>
      </w:r>
    </w:p>
    <w:p w14:paraId="74E42F39"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Identify demographic and clinical characteristics associated with different readmission categories.</w:t>
      </w:r>
    </w:p>
    <w:p w14:paraId="70F4A1E1" w14:textId="77777777" w:rsidR="00952D0B" w:rsidRPr="00952D0B" w:rsidRDefault="00952D0B" w:rsidP="00952D0B">
      <w:pPr>
        <w:numPr>
          <w:ilvl w:val="0"/>
          <w:numId w:val="1"/>
        </w:numPr>
        <w:rPr>
          <w:rFonts w:ascii="Times New Roman" w:hAnsi="Times New Roman" w:cs="Times New Roman"/>
        </w:rPr>
      </w:pPr>
      <w:proofErr w:type="spellStart"/>
      <w:r w:rsidRPr="00952D0B">
        <w:rPr>
          <w:rFonts w:ascii="Times New Roman" w:hAnsi="Times New Roman" w:cs="Times New Roman"/>
        </w:rPr>
        <w:t>Analyze</w:t>
      </w:r>
      <w:proofErr w:type="spellEnd"/>
      <w:r w:rsidRPr="00952D0B">
        <w:rPr>
          <w:rFonts w:ascii="Times New Roman" w:hAnsi="Times New Roman" w:cs="Times New Roman"/>
        </w:rPr>
        <w:t xml:space="preserve"> hospital utilization and admission-related patterns.</w:t>
      </w:r>
    </w:p>
    <w:p w14:paraId="73F31E76"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Examine relationships between selected numerical and categorical variables.</w:t>
      </w:r>
    </w:p>
    <w:p w14:paraId="50E47A18"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 xml:space="preserve">Develop a structured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approach.</w:t>
      </w:r>
    </w:p>
    <w:p w14:paraId="682CD3D7"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Compare candidate classification models.</w:t>
      </w:r>
    </w:p>
    <w:p w14:paraId="1AC7D93E"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Identify potentially important predictors.</w:t>
      </w:r>
    </w:p>
    <w:p w14:paraId="7FE5D5D8"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Communicate findings using clear visualizations.</w:t>
      </w:r>
    </w:p>
    <w:p w14:paraId="2F49B3C2"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Develop evidence-based recommendations.</w:t>
      </w:r>
    </w:p>
    <w:p w14:paraId="3981EFB8"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Identify limitations and opportunities for future research.</w:t>
      </w:r>
    </w:p>
    <w:p w14:paraId="48D6424E" w14:textId="77777777" w:rsidR="00952D0B" w:rsidRPr="00952D0B" w:rsidRDefault="00952D0B" w:rsidP="00952D0B">
      <w:pPr>
        <w:numPr>
          <w:ilvl w:val="0"/>
          <w:numId w:val="1"/>
        </w:numPr>
        <w:rPr>
          <w:rFonts w:ascii="Times New Roman" w:hAnsi="Times New Roman" w:cs="Times New Roman"/>
        </w:rPr>
      </w:pPr>
      <w:r w:rsidRPr="00952D0B">
        <w:rPr>
          <w:rFonts w:ascii="Times New Roman" w:hAnsi="Times New Roman" w:cs="Times New Roman"/>
        </w:rPr>
        <w:t>Ensure responsible and ethical interpretation of healthcare data.</w:t>
      </w:r>
    </w:p>
    <w:p w14:paraId="5EBA89B8" w14:textId="70F46841" w:rsidR="00952D0B" w:rsidRPr="00952D0B" w:rsidRDefault="00952D0B" w:rsidP="00952D0B">
      <w:pPr>
        <w:rPr>
          <w:rFonts w:ascii="Times New Roman" w:hAnsi="Times New Roman" w:cs="Times New Roman"/>
        </w:rPr>
      </w:pPr>
    </w:p>
    <w:p w14:paraId="35423A73"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5. Dataset Overview</w:t>
      </w:r>
    </w:p>
    <w:p w14:paraId="48C9291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project uses the </w:t>
      </w:r>
      <w:r w:rsidRPr="00952D0B">
        <w:rPr>
          <w:rFonts w:ascii="Times New Roman" w:hAnsi="Times New Roman" w:cs="Times New Roman"/>
          <w:b/>
          <w:bCs/>
        </w:rPr>
        <w:t>Diabetes 130-US Hospitals for Years 1999–2008</w:t>
      </w:r>
      <w:r w:rsidRPr="00952D0B">
        <w:rPr>
          <w:rFonts w:ascii="Times New Roman" w:hAnsi="Times New Roman" w:cs="Times New Roman"/>
        </w:rPr>
        <w:t xml:space="preserve"> dataset.</w:t>
      </w:r>
    </w:p>
    <w:tbl>
      <w:tblPr>
        <w:tblStyle w:val="TableGrid"/>
        <w:tblW w:w="0" w:type="auto"/>
        <w:tblLook w:val="04A0" w:firstRow="1" w:lastRow="0" w:firstColumn="1" w:lastColumn="0" w:noHBand="0" w:noVBand="1"/>
      </w:tblPr>
      <w:tblGrid>
        <w:gridCol w:w="1799"/>
        <w:gridCol w:w="4506"/>
      </w:tblGrid>
      <w:tr w:rsidR="00952D0B" w:rsidRPr="00952D0B" w14:paraId="3A3EB5BE" w14:textId="77777777" w:rsidTr="00952D0B">
        <w:tc>
          <w:tcPr>
            <w:tcW w:w="0" w:type="auto"/>
            <w:hideMark/>
          </w:tcPr>
          <w:p w14:paraId="683B277B" w14:textId="77777777" w:rsidR="00952D0B" w:rsidRPr="00952D0B" w:rsidRDefault="00952D0B" w:rsidP="00952D0B">
            <w:pPr>
              <w:spacing w:after="160" w:line="259" w:lineRule="auto"/>
              <w:rPr>
                <w:rFonts w:ascii="Times New Roman" w:hAnsi="Times New Roman" w:cs="Times New Roman"/>
                <w:b/>
                <w:bCs/>
              </w:rPr>
            </w:pPr>
            <w:r w:rsidRPr="00952D0B">
              <w:rPr>
                <w:rFonts w:ascii="Times New Roman" w:hAnsi="Times New Roman" w:cs="Times New Roman"/>
                <w:b/>
                <w:bCs/>
              </w:rPr>
              <w:t>Attribute</w:t>
            </w:r>
          </w:p>
        </w:tc>
        <w:tc>
          <w:tcPr>
            <w:tcW w:w="0" w:type="auto"/>
            <w:hideMark/>
          </w:tcPr>
          <w:p w14:paraId="406693BE" w14:textId="77777777" w:rsidR="00952D0B" w:rsidRPr="00952D0B" w:rsidRDefault="00952D0B" w:rsidP="00952D0B">
            <w:pPr>
              <w:spacing w:after="160" w:line="259" w:lineRule="auto"/>
              <w:rPr>
                <w:rFonts w:ascii="Times New Roman" w:hAnsi="Times New Roman" w:cs="Times New Roman"/>
                <w:b/>
                <w:bCs/>
              </w:rPr>
            </w:pPr>
            <w:r w:rsidRPr="00952D0B">
              <w:rPr>
                <w:rFonts w:ascii="Times New Roman" w:hAnsi="Times New Roman" w:cs="Times New Roman"/>
                <w:b/>
                <w:bCs/>
              </w:rPr>
              <w:t>Description</w:t>
            </w:r>
          </w:p>
        </w:tc>
      </w:tr>
      <w:tr w:rsidR="00952D0B" w:rsidRPr="00952D0B" w14:paraId="525D49C3" w14:textId="77777777" w:rsidTr="00952D0B">
        <w:tc>
          <w:tcPr>
            <w:tcW w:w="0" w:type="auto"/>
            <w:hideMark/>
          </w:tcPr>
          <w:p w14:paraId="12CF0C13"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Dataset</w:t>
            </w:r>
          </w:p>
        </w:tc>
        <w:tc>
          <w:tcPr>
            <w:tcW w:w="0" w:type="auto"/>
            <w:hideMark/>
          </w:tcPr>
          <w:p w14:paraId="2C0EE469"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Diabetes 130-US Hospitals for Years 1999–2008</w:t>
            </w:r>
          </w:p>
        </w:tc>
      </w:tr>
      <w:tr w:rsidR="00952D0B" w:rsidRPr="00952D0B" w14:paraId="0D527656" w14:textId="77777777" w:rsidTr="00952D0B">
        <w:tc>
          <w:tcPr>
            <w:tcW w:w="0" w:type="auto"/>
            <w:hideMark/>
          </w:tcPr>
          <w:p w14:paraId="5FE3B1D4"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Domain</w:t>
            </w:r>
          </w:p>
        </w:tc>
        <w:tc>
          <w:tcPr>
            <w:tcW w:w="0" w:type="auto"/>
            <w:hideMark/>
          </w:tcPr>
          <w:p w14:paraId="3D29F2C0"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Healthcare</w:t>
            </w:r>
          </w:p>
        </w:tc>
      </w:tr>
      <w:tr w:rsidR="00952D0B" w:rsidRPr="00952D0B" w14:paraId="40205F70" w14:textId="77777777" w:rsidTr="00952D0B">
        <w:tc>
          <w:tcPr>
            <w:tcW w:w="0" w:type="auto"/>
            <w:hideMark/>
          </w:tcPr>
          <w:p w14:paraId="2F9278C4"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Original Source</w:t>
            </w:r>
          </w:p>
        </w:tc>
        <w:tc>
          <w:tcPr>
            <w:tcW w:w="0" w:type="auto"/>
            <w:hideMark/>
          </w:tcPr>
          <w:p w14:paraId="212FC189"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UCI Machine Learning Repository</w:t>
            </w:r>
          </w:p>
        </w:tc>
      </w:tr>
      <w:tr w:rsidR="00952D0B" w:rsidRPr="00952D0B" w14:paraId="484B404C" w14:textId="77777777" w:rsidTr="00952D0B">
        <w:tc>
          <w:tcPr>
            <w:tcW w:w="0" w:type="auto"/>
            <w:hideMark/>
          </w:tcPr>
          <w:p w14:paraId="34FA2E25"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Download Source</w:t>
            </w:r>
          </w:p>
        </w:tc>
        <w:tc>
          <w:tcPr>
            <w:tcW w:w="0" w:type="auto"/>
            <w:hideMark/>
          </w:tcPr>
          <w:p w14:paraId="7CC90ED7"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Kaggle</w:t>
            </w:r>
          </w:p>
        </w:tc>
      </w:tr>
      <w:tr w:rsidR="00952D0B" w:rsidRPr="00952D0B" w14:paraId="6B31E539" w14:textId="77777777" w:rsidTr="00952D0B">
        <w:tc>
          <w:tcPr>
            <w:tcW w:w="0" w:type="auto"/>
            <w:hideMark/>
          </w:tcPr>
          <w:p w14:paraId="09EE768F"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Period</w:t>
            </w:r>
          </w:p>
        </w:tc>
        <w:tc>
          <w:tcPr>
            <w:tcW w:w="0" w:type="auto"/>
            <w:hideMark/>
          </w:tcPr>
          <w:p w14:paraId="1C47025A"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1999–2008</w:t>
            </w:r>
          </w:p>
        </w:tc>
      </w:tr>
      <w:tr w:rsidR="00952D0B" w:rsidRPr="00952D0B" w14:paraId="25B08127" w14:textId="77777777" w:rsidTr="00952D0B">
        <w:tc>
          <w:tcPr>
            <w:tcW w:w="0" w:type="auto"/>
            <w:hideMark/>
          </w:tcPr>
          <w:p w14:paraId="7433B430"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File</w:t>
            </w:r>
          </w:p>
        </w:tc>
        <w:tc>
          <w:tcPr>
            <w:tcW w:w="0" w:type="auto"/>
            <w:hideMark/>
          </w:tcPr>
          <w:p w14:paraId="7E9498A2"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diabetic_cleaned.xlsx</w:t>
            </w:r>
          </w:p>
        </w:tc>
      </w:tr>
      <w:tr w:rsidR="00952D0B" w:rsidRPr="00952D0B" w14:paraId="210BD698" w14:textId="77777777" w:rsidTr="00952D0B">
        <w:tc>
          <w:tcPr>
            <w:tcW w:w="0" w:type="auto"/>
            <w:hideMark/>
          </w:tcPr>
          <w:p w14:paraId="7F578A35"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lastRenderedPageBreak/>
              <w:t>Target Variable</w:t>
            </w:r>
          </w:p>
        </w:tc>
        <w:tc>
          <w:tcPr>
            <w:tcW w:w="0" w:type="auto"/>
            <w:hideMark/>
          </w:tcPr>
          <w:p w14:paraId="5C5E19AD"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readmitted</w:t>
            </w:r>
          </w:p>
        </w:tc>
      </w:tr>
      <w:tr w:rsidR="00952D0B" w:rsidRPr="00952D0B" w14:paraId="30D4B840" w14:textId="77777777" w:rsidTr="00952D0B">
        <w:tc>
          <w:tcPr>
            <w:tcW w:w="0" w:type="auto"/>
            <w:hideMark/>
          </w:tcPr>
          <w:p w14:paraId="5E344967"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Problem</w:t>
            </w:r>
          </w:p>
        </w:tc>
        <w:tc>
          <w:tcPr>
            <w:tcW w:w="0" w:type="auto"/>
            <w:hideMark/>
          </w:tcPr>
          <w:p w14:paraId="16F0D980"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Patient/hospital readmission analysis</w:t>
            </w:r>
          </w:p>
        </w:tc>
      </w:tr>
    </w:tbl>
    <w:p w14:paraId="6BAD444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dataset contains hospital encounter information, including demographic characteristics, admission details, diagnoses, laboratory procedures, medications, and healthcare utilization.</w:t>
      </w:r>
    </w:p>
    <w:p w14:paraId="7121D14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cleaned dataset prepared during earlier project stages will be used as the basis for the proposed analytical process.</w:t>
      </w:r>
    </w:p>
    <w:p w14:paraId="39677215" w14:textId="3F613A4F" w:rsidR="00952D0B" w:rsidRPr="00952D0B" w:rsidRDefault="00952D0B" w:rsidP="00952D0B">
      <w:pPr>
        <w:rPr>
          <w:rFonts w:ascii="Times New Roman" w:hAnsi="Times New Roman" w:cs="Times New Roman"/>
        </w:rPr>
      </w:pPr>
    </w:p>
    <w:p w14:paraId="509053E3"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6. Methodology</w:t>
      </w:r>
    </w:p>
    <w:p w14:paraId="4BEF178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analytical methodology follows a structured sequence:</w:t>
      </w:r>
    </w:p>
    <w:p w14:paraId="7B713F03" w14:textId="74218818" w:rsidR="00952D0B" w:rsidRPr="00952D0B" w:rsidRDefault="00952D0B" w:rsidP="00952D0B">
      <w:pPr>
        <w:rPr>
          <w:rFonts w:ascii="Times New Roman" w:hAnsi="Times New Roman" w:cs="Times New Roman"/>
        </w:rPr>
      </w:pPr>
      <w:r w:rsidRPr="00952D0B">
        <w:rPr>
          <w:rFonts w:ascii="Times New Roman" w:hAnsi="Times New Roman" w:cs="Times New Roman"/>
          <w:noProof/>
        </w:rPr>
        <w:drawing>
          <wp:inline distT="0" distB="0" distL="0" distR="0" wp14:anchorId="456EF95A" wp14:editId="30911DD5">
            <wp:extent cx="5486400" cy="3200400"/>
            <wp:effectExtent l="0" t="0" r="0" b="19050"/>
            <wp:docPr id="21815449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83C8A5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methodology is designed to ensure that insights are derived systematically rather than from isolated observations.</w:t>
      </w:r>
    </w:p>
    <w:p w14:paraId="05950CAC" w14:textId="28CC4434" w:rsidR="00952D0B" w:rsidRPr="00952D0B" w:rsidRDefault="00952D0B" w:rsidP="00952D0B">
      <w:pPr>
        <w:rPr>
          <w:rFonts w:ascii="Times New Roman" w:hAnsi="Times New Roman" w:cs="Times New Roman"/>
        </w:rPr>
      </w:pPr>
    </w:p>
    <w:p w14:paraId="4213D1C4"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7. Data Preparation</w:t>
      </w:r>
    </w:p>
    <w:p w14:paraId="0D63174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Before analysis, the cleaned dataset will be reviewed to ensure that it is suitable for statistical and predictive analysis.</w:t>
      </w:r>
    </w:p>
    <w:p w14:paraId="2D80FF2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preparation process includes:</w:t>
      </w:r>
    </w:p>
    <w:p w14:paraId="48C90E0D"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Checking the dataset structure.</w:t>
      </w:r>
    </w:p>
    <w:p w14:paraId="642CD9DE"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Confirming variable names and data types.</w:t>
      </w:r>
    </w:p>
    <w:p w14:paraId="27AF0EFD"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Verifying the target variable.</w:t>
      </w:r>
    </w:p>
    <w:p w14:paraId="01DEC4A0"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Reviewing missing values.</w:t>
      </w:r>
    </w:p>
    <w:p w14:paraId="5A29D0E4"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Checking duplicate records.</w:t>
      </w:r>
    </w:p>
    <w:p w14:paraId="113F9F76"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lastRenderedPageBreak/>
        <w:t>Standardizing categorical variables.</w:t>
      </w:r>
    </w:p>
    <w:p w14:paraId="50D53A2C"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Encoding categorical predictors when required.</w:t>
      </w:r>
    </w:p>
    <w:p w14:paraId="1F258EB1"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Reviewing numerical variables for invalid values.</w:t>
      </w:r>
    </w:p>
    <w:p w14:paraId="7EDFD492"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Identifying potential outliers.</w:t>
      </w:r>
    </w:p>
    <w:p w14:paraId="6BEACEB0"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Removing or excluding variables that are unsuitable for analysis.</w:t>
      </w:r>
    </w:p>
    <w:p w14:paraId="2A081446" w14:textId="77777777" w:rsidR="00952D0B" w:rsidRPr="00952D0B" w:rsidRDefault="00952D0B" w:rsidP="00952D0B">
      <w:pPr>
        <w:numPr>
          <w:ilvl w:val="0"/>
          <w:numId w:val="2"/>
        </w:numPr>
        <w:rPr>
          <w:rFonts w:ascii="Times New Roman" w:hAnsi="Times New Roman" w:cs="Times New Roman"/>
        </w:rPr>
      </w:pPr>
      <w:r w:rsidRPr="00952D0B">
        <w:rPr>
          <w:rFonts w:ascii="Times New Roman" w:hAnsi="Times New Roman" w:cs="Times New Roman"/>
        </w:rPr>
        <w:t>Excluding identifiers that do not provide meaningful predictive information.</w:t>
      </w:r>
    </w:p>
    <w:p w14:paraId="12FE8F4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cleaned dataset will be preserved separately from the original raw data to maintain reproducibility.</w:t>
      </w:r>
    </w:p>
    <w:p w14:paraId="4ACB8C6E" w14:textId="3E178EC0" w:rsidR="00952D0B" w:rsidRPr="00952D0B" w:rsidRDefault="00952D0B" w:rsidP="00952D0B">
      <w:pPr>
        <w:rPr>
          <w:rFonts w:ascii="Times New Roman" w:hAnsi="Times New Roman" w:cs="Times New Roman"/>
        </w:rPr>
      </w:pPr>
    </w:p>
    <w:p w14:paraId="7DD7388A"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 Statistical Analysis Approach</w:t>
      </w:r>
    </w:p>
    <w:p w14:paraId="44A10B8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Descriptive and inferential statistical techniques will be used to understand the data.</w:t>
      </w:r>
    </w:p>
    <w:p w14:paraId="714339FD"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8.1 Descriptive Statistics</w:t>
      </w:r>
    </w:p>
    <w:p w14:paraId="3B148ED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Numerical variables will be summarized using:</w:t>
      </w:r>
    </w:p>
    <w:p w14:paraId="1EB9296C"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Mean</w:t>
      </w:r>
    </w:p>
    <w:p w14:paraId="4076E11C"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Median</w:t>
      </w:r>
    </w:p>
    <w:p w14:paraId="2BA6D6F3"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Standard deviation</w:t>
      </w:r>
    </w:p>
    <w:p w14:paraId="3A90F1B5"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Minimum</w:t>
      </w:r>
    </w:p>
    <w:p w14:paraId="659586E4"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Maximum</w:t>
      </w:r>
    </w:p>
    <w:p w14:paraId="3464C660" w14:textId="77777777" w:rsidR="00952D0B" w:rsidRPr="00952D0B" w:rsidRDefault="00952D0B" w:rsidP="00952D0B">
      <w:pPr>
        <w:numPr>
          <w:ilvl w:val="0"/>
          <w:numId w:val="3"/>
        </w:numPr>
        <w:rPr>
          <w:rFonts w:ascii="Times New Roman" w:hAnsi="Times New Roman" w:cs="Times New Roman"/>
        </w:rPr>
      </w:pPr>
      <w:r w:rsidRPr="00952D0B">
        <w:rPr>
          <w:rFonts w:ascii="Times New Roman" w:hAnsi="Times New Roman" w:cs="Times New Roman"/>
        </w:rPr>
        <w:t>Quartiles</w:t>
      </w:r>
    </w:p>
    <w:p w14:paraId="191B19C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Categorical variables will be summarized using:</w:t>
      </w:r>
    </w:p>
    <w:p w14:paraId="3FB8DD61" w14:textId="77777777" w:rsidR="00952D0B" w:rsidRPr="00952D0B" w:rsidRDefault="00952D0B" w:rsidP="00952D0B">
      <w:pPr>
        <w:numPr>
          <w:ilvl w:val="0"/>
          <w:numId w:val="4"/>
        </w:numPr>
        <w:rPr>
          <w:rFonts w:ascii="Times New Roman" w:hAnsi="Times New Roman" w:cs="Times New Roman"/>
        </w:rPr>
      </w:pPr>
      <w:r w:rsidRPr="00952D0B">
        <w:rPr>
          <w:rFonts w:ascii="Times New Roman" w:hAnsi="Times New Roman" w:cs="Times New Roman"/>
        </w:rPr>
        <w:t>Frequency</w:t>
      </w:r>
    </w:p>
    <w:p w14:paraId="3211B645" w14:textId="77777777" w:rsidR="00952D0B" w:rsidRPr="00952D0B" w:rsidRDefault="00952D0B" w:rsidP="00952D0B">
      <w:pPr>
        <w:numPr>
          <w:ilvl w:val="0"/>
          <w:numId w:val="4"/>
        </w:numPr>
        <w:rPr>
          <w:rFonts w:ascii="Times New Roman" w:hAnsi="Times New Roman" w:cs="Times New Roman"/>
        </w:rPr>
      </w:pPr>
      <w:r w:rsidRPr="00952D0B">
        <w:rPr>
          <w:rFonts w:ascii="Times New Roman" w:hAnsi="Times New Roman" w:cs="Times New Roman"/>
        </w:rPr>
        <w:t>Percentage</w:t>
      </w:r>
    </w:p>
    <w:p w14:paraId="6C8A3B59" w14:textId="77777777" w:rsidR="00952D0B" w:rsidRPr="00952D0B" w:rsidRDefault="00952D0B" w:rsidP="00952D0B">
      <w:pPr>
        <w:numPr>
          <w:ilvl w:val="0"/>
          <w:numId w:val="4"/>
        </w:numPr>
        <w:rPr>
          <w:rFonts w:ascii="Times New Roman" w:hAnsi="Times New Roman" w:cs="Times New Roman"/>
        </w:rPr>
      </w:pPr>
      <w:r w:rsidRPr="00952D0B">
        <w:rPr>
          <w:rFonts w:ascii="Times New Roman" w:hAnsi="Times New Roman" w:cs="Times New Roman"/>
        </w:rPr>
        <w:t>Category distribution</w:t>
      </w:r>
    </w:p>
    <w:p w14:paraId="0E13ADB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Examples include hospital stay duration, number of medications, number of diagnoses, and readmission categories.</w:t>
      </w:r>
    </w:p>
    <w:p w14:paraId="23FBD3A5"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8.2 Chi-Square Test</w:t>
      </w:r>
    </w:p>
    <w:p w14:paraId="0EF32115"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Chi-Square test may be used to investigate relationships between categorical variables.</w:t>
      </w:r>
    </w:p>
    <w:p w14:paraId="2048E8B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For example:</w:t>
      </w:r>
    </w:p>
    <w:p w14:paraId="28137B69" w14:textId="77777777" w:rsidR="00952D0B" w:rsidRPr="00952D0B" w:rsidRDefault="00952D0B" w:rsidP="00952D0B">
      <w:pPr>
        <w:numPr>
          <w:ilvl w:val="0"/>
          <w:numId w:val="5"/>
        </w:numPr>
        <w:rPr>
          <w:rFonts w:ascii="Times New Roman" w:hAnsi="Times New Roman" w:cs="Times New Roman"/>
        </w:rPr>
      </w:pPr>
      <w:r w:rsidRPr="00952D0B">
        <w:rPr>
          <w:rFonts w:ascii="Times New Roman" w:hAnsi="Times New Roman" w:cs="Times New Roman"/>
        </w:rPr>
        <w:t>Gender and readmission</w:t>
      </w:r>
    </w:p>
    <w:p w14:paraId="0E722BF6" w14:textId="77777777" w:rsidR="00952D0B" w:rsidRPr="00952D0B" w:rsidRDefault="00952D0B" w:rsidP="00952D0B">
      <w:pPr>
        <w:numPr>
          <w:ilvl w:val="0"/>
          <w:numId w:val="5"/>
        </w:numPr>
        <w:rPr>
          <w:rFonts w:ascii="Times New Roman" w:hAnsi="Times New Roman" w:cs="Times New Roman"/>
        </w:rPr>
      </w:pPr>
      <w:r w:rsidRPr="00952D0B">
        <w:rPr>
          <w:rFonts w:ascii="Times New Roman" w:hAnsi="Times New Roman" w:cs="Times New Roman"/>
        </w:rPr>
        <w:t>Age group and readmission</w:t>
      </w:r>
    </w:p>
    <w:p w14:paraId="4D0D346A" w14:textId="77777777" w:rsidR="00952D0B" w:rsidRPr="00952D0B" w:rsidRDefault="00952D0B" w:rsidP="00952D0B">
      <w:pPr>
        <w:numPr>
          <w:ilvl w:val="0"/>
          <w:numId w:val="5"/>
        </w:numPr>
        <w:rPr>
          <w:rFonts w:ascii="Times New Roman" w:hAnsi="Times New Roman" w:cs="Times New Roman"/>
        </w:rPr>
      </w:pPr>
      <w:r w:rsidRPr="00952D0B">
        <w:rPr>
          <w:rFonts w:ascii="Times New Roman" w:hAnsi="Times New Roman" w:cs="Times New Roman"/>
        </w:rPr>
        <w:t>Race and readmission</w:t>
      </w:r>
    </w:p>
    <w:p w14:paraId="0EA09B41"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8.3 t-Test</w:t>
      </w:r>
    </w:p>
    <w:p w14:paraId="4270D0C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lastRenderedPageBreak/>
        <w:t>A t-test may be used when comparing the mean of a numerical variable between two groups, provided the assumptions of the test are reasonably satisfied.</w:t>
      </w:r>
    </w:p>
    <w:p w14:paraId="7D07072F"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8.4 ANOVA</w:t>
      </w:r>
    </w:p>
    <w:p w14:paraId="11AB978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ANOVA may be considered when comparing numerical variables across three or more groups.</w:t>
      </w:r>
    </w:p>
    <w:p w14:paraId="7EE1D14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For example, hospital stay duration could be compared across the three readmission categories.</w:t>
      </w:r>
    </w:p>
    <w:p w14:paraId="3825FDC3"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8.5 Correlation Analysis</w:t>
      </w:r>
    </w:p>
    <w:p w14:paraId="2484F69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Correlation analysis may be used to investigate relationships between numerical variables.</w:t>
      </w:r>
    </w:p>
    <w:p w14:paraId="1BF49CA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Correlation will be interpreted as an association rather than evidence of causation.</w:t>
      </w:r>
    </w:p>
    <w:p w14:paraId="122B7DEE" w14:textId="150363C7" w:rsidR="00952D0B" w:rsidRPr="00952D0B" w:rsidRDefault="00952D0B" w:rsidP="00952D0B">
      <w:pPr>
        <w:rPr>
          <w:rFonts w:ascii="Times New Roman" w:hAnsi="Times New Roman" w:cs="Times New Roman"/>
        </w:rPr>
      </w:pPr>
    </w:p>
    <w:p w14:paraId="298AC83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 xml:space="preserve">9. Predictive </w:t>
      </w:r>
      <w:proofErr w:type="spellStart"/>
      <w:r w:rsidRPr="00952D0B">
        <w:rPr>
          <w:rFonts w:ascii="Times New Roman" w:hAnsi="Times New Roman" w:cs="Times New Roman"/>
          <w:b/>
          <w:bCs/>
        </w:rPr>
        <w:t>Modeling</w:t>
      </w:r>
      <w:proofErr w:type="spellEnd"/>
      <w:r w:rsidRPr="00952D0B">
        <w:rPr>
          <w:rFonts w:ascii="Times New Roman" w:hAnsi="Times New Roman" w:cs="Times New Roman"/>
          <w:b/>
          <w:bCs/>
        </w:rPr>
        <w:t xml:space="preserve"> Approach</w:t>
      </w:r>
    </w:p>
    <w:p w14:paraId="4C2F94A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target variable is readmitted.</w:t>
      </w:r>
    </w:p>
    <w:p w14:paraId="5866F77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initial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problem will be treated as a multiclass classification problem with the following categories:</w:t>
      </w:r>
    </w:p>
    <w:p w14:paraId="012FF1BD" w14:textId="77777777" w:rsidR="00952D0B" w:rsidRPr="00952D0B" w:rsidRDefault="00952D0B" w:rsidP="00952D0B">
      <w:pPr>
        <w:numPr>
          <w:ilvl w:val="0"/>
          <w:numId w:val="6"/>
        </w:numPr>
        <w:rPr>
          <w:rFonts w:ascii="Times New Roman" w:hAnsi="Times New Roman" w:cs="Times New Roman"/>
        </w:rPr>
      </w:pPr>
      <w:r w:rsidRPr="00952D0B">
        <w:rPr>
          <w:rFonts w:ascii="Times New Roman" w:hAnsi="Times New Roman" w:cs="Times New Roman"/>
        </w:rPr>
        <w:t>&lt;30</w:t>
      </w:r>
    </w:p>
    <w:p w14:paraId="275995E9" w14:textId="77777777" w:rsidR="00952D0B" w:rsidRPr="00952D0B" w:rsidRDefault="00952D0B" w:rsidP="00952D0B">
      <w:pPr>
        <w:numPr>
          <w:ilvl w:val="0"/>
          <w:numId w:val="6"/>
        </w:numPr>
        <w:rPr>
          <w:rFonts w:ascii="Times New Roman" w:hAnsi="Times New Roman" w:cs="Times New Roman"/>
        </w:rPr>
      </w:pPr>
      <w:r w:rsidRPr="00952D0B">
        <w:rPr>
          <w:rFonts w:ascii="Times New Roman" w:hAnsi="Times New Roman" w:cs="Times New Roman"/>
        </w:rPr>
        <w:t>&gt;30</w:t>
      </w:r>
    </w:p>
    <w:p w14:paraId="32D8D29B" w14:textId="77777777" w:rsidR="00952D0B" w:rsidRPr="00952D0B" w:rsidRDefault="00952D0B" w:rsidP="00952D0B">
      <w:pPr>
        <w:numPr>
          <w:ilvl w:val="0"/>
          <w:numId w:val="6"/>
        </w:numPr>
        <w:rPr>
          <w:rFonts w:ascii="Times New Roman" w:hAnsi="Times New Roman" w:cs="Times New Roman"/>
        </w:rPr>
      </w:pPr>
      <w:r w:rsidRPr="00952D0B">
        <w:rPr>
          <w:rFonts w:ascii="Times New Roman" w:hAnsi="Times New Roman" w:cs="Times New Roman"/>
        </w:rPr>
        <w:t>NO</w:t>
      </w:r>
    </w:p>
    <w:p w14:paraId="431443C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Potential predictor variables include demographic, clinical, hospitalization, laboratory, medication, and healthcare-utilization variables.</w:t>
      </w:r>
    </w:p>
    <w:p w14:paraId="7B7A46E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Identifiers such as </w:t>
      </w:r>
      <w:proofErr w:type="spellStart"/>
      <w:r w:rsidRPr="00952D0B">
        <w:rPr>
          <w:rFonts w:ascii="Times New Roman" w:hAnsi="Times New Roman" w:cs="Times New Roman"/>
        </w:rPr>
        <w:t>encounter_id</w:t>
      </w:r>
      <w:proofErr w:type="spellEnd"/>
      <w:r w:rsidRPr="00952D0B">
        <w:rPr>
          <w:rFonts w:ascii="Times New Roman" w:hAnsi="Times New Roman" w:cs="Times New Roman"/>
        </w:rPr>
        <w:t xml:space="preserve"> and </w:t>
      </w:r>
      <w:proofErr w:type="spellStart"/>
      <w:r w:rsidRPr="00952D0B">
        <w:rPr>
          <w:rFonts w:ascii="Times New Roman" w:hAnsi="Times New Roman" w:cs="Times New Roman"/>
        </w:rPr>
        <w:t>patient_nbr</w:t>
      </w:r>
      <w:proofErr w:type="spellEnd"/>
      <w:r w:rsidRPr="00952D0B">
        <w:rPr>
          <w:rFonts w:ascii="Times New Roman" w:hAnsi="Times New Roman" w:cs="Times New Roman"/>
        </w:rPr>
        <w:t xml:space="preserve"> will generally be excluded because they identify records rather than provide meaningful clinical information.</w:t>
      </w:r>
    </w:p>
    <w:p w14:paraId="1D00222E"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Candidate Models</w:t>
      </w:r>
    </w:p>
    <w:p w14:paraId="292C1328"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Logistic Regression</w:t>
      </w:r>
    </w:p>
    <w:p w14:paraId="1AE7B435"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Logistic Regression will provide an interpretable baseline classification model.</w:t>
      </w:r>
    </w:p>
    <w:p w14:paraId="45F9247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It is useful for understanding the relationship between predictors and predicted outcomes.</w:t>
      </w:r>
    </w:p>
    <w:p w14:paraId="01F84FC2"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Decision Tree</w:t>
      </w:r>
    </w:p>
    <w:p w14:paraId="2E18823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Decision Tree will provide an interpretable nonlinear classification approach and can represent decision rules.</w:t>
      </w:r>
    </w:p>
    <w:p w14:paraId="7D496A4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Random Forest</w:t>
      </w:r>
    </w:p>
    <w:p w14:paraId="047F09E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Random Forest will provide an ensemble approach capable of capturing nonlinear relationships and interactions among variables.</w:t>
      </w:r>
    </w:p>
    <w:p w14:paraId="18AB89C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models will be compared rather than assuming that one algorithm is automatically superior.</w:t>
      </w:r>
    </w:p>
    <w:p w14:paraId="07D28818" w14:textId="6FEDE8A8" w:rsidR="00952D0B" w:rsidRPr="00952D0B" w:rsidRDefault="00952D0B" w:rsidP="00952D0B">
      <w:pPr>
        <w:rPr>
          <w:rFonts w:ascii="Times New Roman" w:hAnsi="Times New Roman" w:cs="Times New Roman"/>
        </w:rPr>
      </w:pPr>
    </w:p>
    <w:p w14:paraId="32BBB58B"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10. Model Validation</w:t>
      </w:r>
    </w:p>
    <w:p w14:paraId="66307182"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dataset will be divided into training and testing subsets.</w:t>
      </w:r>
    </w:p>
    <w:p w14:paraId="6B7F642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lastRenderedPageBreak/>
        <w:t xml:space="preserve">An initial </w:t>
      </w:r>
      <w:r w:rsidRPr="00952D0B">
        <w:rPr>
          <w:rFonts w:ascii="Times New Roman" w:hAnsi="Times New Roman" w:cs="Times New Roman"/>
          <w:b/>
          <w:bCs/>
        </w:rPr>
        <w:t>80:20 training-to-testing split</w:t>
      </w:r>
      <w:r w:rsidRPr="00952D0B">
        <w:rPr>
          <w:rFonts w:ascii="Times New Roman" w:hAnsi="Times New Roman" w:cs="Times New Roman"/>
        </w:rPr>
        <w:t xml:space="preserve"> will be considered.</w:t>
      </w:r>
    </w:p>
    <w:p w14:paraId="1132743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A stratified split will be preferred so that the distribution of the readmission categories is maintained.</w:t>
      </w:r>
    </w:p>
    <w:p w14:paraId="57A1AE4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training data will be used for:</w:t>
      </w:r>
    </w:p>
    <w:p w14:paraId="70A8F359" w14:textId="77777777" w:rsidR="00952D0B" w:rsidRPr="00952D0B" w:rsidRDefault="00952D0B" w:rsidP="00952D0B">
      <w:pPr>
        <w:numPr>
          <w:ilvl w:val="0"/>
          <w:numId w:val="7"/>
        </w:numPr>
        <w:rPr>
          <w:rFonts w:ascii="Times New Roman" w:hAnsi="Times New Roman" w:cs="Times New Roman"/>
        </w:rPr>
      </w:pPr>
      <w:r w:rsidRPr="00952D0B">
        <w:rPr>
          <w:rFonts w:ascii="Times New Roman" w:hAnsi="Times New Roman" w:cs="Times New Roman"/>
        </w:rPr>
        <w:t>Preprocessing</w:t>
      </w:r>
    </w:p>
    <w:p w14:paraId="1C8C97B1" w14:textId="77777777" w:rsidR="00952D0B" w:rsidRPr="00952D0B" w:rsidRDefault="00952D0B" w:rsidP="00952D0B">
      <w:pPr>
        <w:numPr>
          <w:ilvl w:val="0"/>
          <w:numId w:val="7"/>
        </w:numPr>
        <w:rPr>
          <w:rFonts w:ascii="Times New Roman" w:hAnsi="Times New Roman" w:cs="Times New Roman"/>
        </w:rPr>
      </w:pPr>
      <w:r w:rsidRPr="00952D0B">
        <w:rPr>
          <w:rFonts w:ascii="Times New Roman" w:hAnsi="Times New Roman" w:cs="Times New Roman"/>
        </w:rPr>
        <w:t>Feature selection</w:t>
      </w:r>
    </w:p>
    <w:p w14:paraId="58A42C9A" w14:textId="77777777" w:rsidR="00952D0B" w:rsidRPr="00952D0B" w:rsidRDefault="00952D0B" w:rsidP="00952D0B">
      <w:pPr>
        <w:numPr>
          <w:ilvl w:val="0"/>
          <w:numId w:val="7"/>
        </w:numPr>
        <w:rPr>
          <w:rFonts w:ascii="Times New Roman" w:hAnsi="Times New Roman" w:cs="Times New Roman"/>
        </w:rPr>
      </w:pPr>
      <w:r w:rsidRPr="00952D0B">
        <w:rPr>
          <w:rFonts w:ascii="Times New Roman" w:hAnsi="Times New Roman" w:cs="Times New Roman"/>
        </w:rPr>
        <w:t>Model training</w:t>
      </w:r>
    </w:p>
    <w:p w14:paraId="2D4FFED7" w14:textId="77777777" w:rsidR="00952D0B" w:rsidRPr="00952D0B" w:rsidRDefault="00952D0B" w:rsidP="00952D0B">
      <w:pPr>
        <w:numPr>
          <w:ilvl w:val="0"/>
          <w:numId w:val="7"/>
        </w:numPr>
        <w:rPr>
          <w:rFonts w:ascii="Times New Roman" w:hAnsi="Times New Roman" w:cs="Times New Roman"/>
        </w:rPr>
      </w:pPr>
      <w:r w:rsidRPr="00952D0B">
        <w:rPr>
          <w:rFonts w:ascii="Times New Roman" w:hAnsi="Times New Roman" w:cs="Times New Roman"/>
        </w:rPr>
        <w:t>Hyperparameter tuning</w:t>
      </w:r>
    </w:p>
    <w:p w14:paraId="70F05159" w14:textId="77777777" w:rsidR="00952D0B" w:rsidRPr="00952D0B" w:rsidRDefault="00952D0B" w:rsidP="00952D0B">
      <w:pPr>
        <w:numPr>
          <w:ilvl w:val="0"/>
          <w:numId w:val="7"/>
        </w:numPr>
        <w:rPr>
          <w:rFonts w:ascii="Times New Roman" w:hAnsi="Times New Roman" w:cs="Times New Roman"/>
        </w:rPr>
      </w:pPr>
      <w:r w:rsidRPr="00952D0B">
        <w:rPr>
          <w:rFonts w:ascii="Times New Roman" w:hAnsi="Times New Roman" w:cs="Times New Roman"/>
        </w:rPr>
        <w:t>Cross-validation</w:t>
      </w:r>
    </w:p>
    <w:p w14:paraId="4E6DBBF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test dataset will remain isolated until final evaluation.</w:t>
      </w:r>
    </w:p>
    <w:p w14:paraId="62D0DDA7"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Cross-Validation</w:t>
      </w:r>
    </w:p>
    <w:p w14:paraId="01D4313B"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Stratified k-fold cross-validation, such as five-fold cross-validation, will be considered.</w:t>
      </w:r>
    </w:p>
    <w:p w14:paraId="4471449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Cross-validation will help determine whether model performance is stable across different subsets of the training data.</w:t>
      </w:r>
    </w:p>
    <w:p w14:paraId="4860B8AF" w14:textId="196FC539" w:rsidR="00952D0B" w:rsidRPr="00952D0B" w:rsidRDefault="00952D0B" w:rsidP="00952D0B">
      <w:pPr>
        <w:rPr>
          <w:rFonts w:ascii="Times New Roman" w:hAnsi="Times New Roman" w:cs="Times New Roman"/>
        </w:rPr>
      </w:pPr>
    </w:p>
    <w:p w14:paraId="4199F707"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11. Model Evaluation</w:t>
      </w:r>
    </w:p>
    <w:p w14:paraId="4AA69F22"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following metrics will be considered:</w:t>
      </w:r>
    </w:p>
    <w:p w14:paraId="7533C22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Accuracy</w:t>
      </w:r>
    </w:p>
    <w:p w14:paraId="5DAC341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Measures the overall proportion of correctly classified observations.</w:t>
      </w:r>
    </w:p>
    <w:p w14:paraId="32578C82"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Precision</w:t>
      </w:r>
    </w:p>
    <w:p w14:paraId="63B6208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Measures how many observations predicted as a particular class are actually members of that class.</w:t>
      </w:r>
    </w:p>
    <w:p w14:paraId="5D09E76D"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Recall</w:t>
      </w:r>
    </w:p>
    <w:p w14:paraId="60003662"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Measures how many observations belonging to a particular class are correctly identified.</w:t>
      </w:r>
    </w:p>
    <w:p w14:paraId="03333C20"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F1-Score</w:t>
      </w:r>
    </w:p>
    <w:p w14:paraId="5F96480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Combines precision and recall into a single measure.</w:t>
      </w:r>
    </w:p>
    <w:p w14:paraId="23561B6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For multiclass analysis, macro and weighted averages may be considered.</w:t>
      </w:r>
    </w:p>
    <w:p w14:paraId="3966D7C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Confusion Matrix</w:t>
      </w:r>
    </w:p>
    <w:p w14:paraId="3970A31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confusion matrix will show the number of observations correctly and incorrectly classified for each readmission category.</w:t>
      </w:r>
    </w:p>
    <w:p w14:paraId="312D933B"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ROC-AUC</w:t>
      </w:r>
    </w:p>
    <w:p w14:paraId="3C760B2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ROC-AUC may be used with an appropriate multiclass approach where applicable.</w:t>
      </w:r>
    </w:p>
    <w:p w14:paraId="1796FDB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No numerical model-performance values are reported in this planning-based report because actual model training is outside the scope of the current task.</w:t>
      </w:r>
    </w:p>
    <w:p w14:paraId="1690E6F9" w14:textId="6E2800C1" w:rsidR="00952D0B" w:rsidRPr="00952D0B" w:rsidRDefault="00952D0B" w:rsidP="00952D0B">
      <w:pPr>
        <w:rPr>
          <w:rFonts w:ascii="Times New Roman" w:hAnsi="Times New Roman" w:cs="Times New Roman"/>
        </w:rPr>
      </w:pPr>
    </w:p>
    <w:p w14:paraId="4FF9917C"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lastRenderedPageBreak/>
        <w:t>12. Data Visualization and Communication</w:t>
      </w:r>
    </w:p>
    <w:p w14:paraId="344F104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Visualizations will be used to communicate analytical findings to non-technical stakeholders.</w:t>
      </w:r>
    </w:p>
    <w:p w14:paraId="5830192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Proposed visualizations include:</w:t>
      </w:r>
    </w:p>
    <w:tbl>
      <w:tblPr>
        <w:tblStyle w:val="TableGrid"/>
        <w:tblW w:w="0" w:type="auto"/>
        <w:tblLook w:val="04A0" w:firstRow="1" w:lastRow="0" w:firstColumn="1" w:lastColumn="0" w:noHBand="0" w:noVBand="1"/>
      </w:tblPr>
      <w:tblGrid>
        <w:gridCol w:w="5672"/>
        <w:gridCol w:w="1848"/>
      </w:tblGrid>
      <w:tr w:rsidR="00952D0B" w:rsidRPr="00952D0B" w14:paraId="5BA001D4" w14:textId="77777777" w:rsidTr="00952D0B">
        <w:tc>
          <w:tcPr>
            <w:tcW w:w="0" w:type="auto"/>
            <w:hideMark/>
          </w:tcPr>
          <w:p w14:paraId="4842EC0D" w14:textId="77777777" w:rsidR="00952D0B" w:rsidRPr="00952D0B" w:rsidRDefault="00952D0B" w:rsidP="00952D0B">
            <w:pPr>
              <w:spacing w:after="160" w:line="259" w:lineRule="auto"/>
              <w:rPr>
                <w:rFonts w:ascii="Times New Roman" w:hAnsi="Times New Roman" w:cs="Times New Roman"/>
                <w:b/>
                <w:bCs/>
              </w:rPr>
            </w:pPr>
            <w:r w:rsidRPr="00952D0B">
              <w:rPr>
                <w:rFonts w:ascii="Times New Roman" w:hAnsi="Times New Roman" w:cs="Times New Roman"/>
                <w:b/>
                <w:bCs/>
              </w:rPr>
              <w:t>Analytical Question</w:t>
            </w:r>
          </w:p>
        </w:tc>
        <w:tc>
          <w:tcPr>
            <w:tcW w:w="0" w:type="auto"/>
            <w:hideMark/>
          </w:tcPr>
          <w:p w14:paraId="4A668F9B" w14:textId="77777777" w:rsidR="00952D0B" w:rsidRPr="00952D0B" w:rsidRDefault="00952D0B" w:rsidP="00952D0B">
            <w:pPr>
              <w:spacing w:after="160" w:line="259" w:lineRule="auto"/>
              <w:rPr>
                <w:rFonts w:ascii="Times New Roman" w:hAnsi="Times New Roman" w:cs="Times New Roman"/>
                <w:b/>
                <w:bCs/>
              </w:rPr>
            </w:pPr>
            <w:r w:rsidRPr="00952D0B">
              <w:rPr>
                <w:rFonts w:ascii="Times New Roman" w:hAnsi="Times New Roman" w:cs="Times New Roman"/>
                <w:b/>
                <w:bCs/>
              </w:rPr>
              <w:t>Visualization</w:t>
            </w:r>
          </w:p>
        </w:tc>
      </w:tr>
      <w:tr w:rsidR="00952D0B" w:rsidRPr="00952D0B" w14:paraId="680AD0F2" w14:textId="77777777" w:rsidTr="00952D0B">
        <w:tc>
          <w:tcPr>
            <w:tcW w:w="0" w:type="auto"/>
            <w:hideMark/>
          </w:tcPr>
          <w:p w14:paraId="2472F7A9"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What is the distribution of readmission outcomes?</w:t>
            </w:r>
          </w:p>
        </w:tc>
        <w:tc>
          <w:tcPr>
            <w:tcW w:w="0" w:type="auto"/>
            <w:hideMark/>
          </w:tcPr>
          <w:p w14:paraId="6993D978"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Bar/Donut Chart</w:t>
            </w:r>
          </w:p>
        </w:tc>
      </w:tr>
      <w:tr w:rsidR="00952D0B" w:rsidRPr="00952D0B" w14:paraId="003F4FFF" w14:textId="77777777" w:rsidTr="00952D0B">
        <w:tc>
          <w:tcPr>
            <w:tcW w:w="0" w:type="auto"/>
            <w:hideMark/>
          </w:tcPr>
          <w:p w14:paraId="01FEB387"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How does readmission vary by age?</w:t>
            </w:r>
          </w:p>
        </w:tc>
        <w:tc>
          <w:tcPr>
            <w:tcW w:w="0" w:type="auto"/>
            <w:hideMark/>
          </w:tcPr>
          <w:p w14:paraId="2339ECD4"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Bar Chart</w:t>
            </w:r>
          </w:p>
        </w:tc>
      </w:tr>
      <w:tr w:rsidR="00952D0B" w:rsidRPr="00952D0B" w14:paraId="5D1DB747" w14:textId="77777777" w:rsidTr="00952D0B">
        <w:tc>
          <w:tcPr>
            <w:tcW w:w="0" w:type="auto"/>
            <w:hideMark/>
          </w:tcPr>
          <w:p w14:paraId="17EC9EFD"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How does readmission vary by gender?</w:t>
            </w:r>
          </w:p>
        </w:tc>
        <w:tc>
          <w:tcPr>
            <w:tcW w:w="0" w:type="auto"/>
            <w:hideMark/>
          </w:tcPr>
          <w:p w14:paraId="6B9C0FF9"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Stacked Bar Chart</w:t>
            </w:r>
          </w:p>
        </w:tc>
      </w:tr>
      <w:tr w:rsidR="00952D0B" w:rsidRPr="00952D0B" w14:paraId="61BE54C1" w14:textId="77777777" w:rsidTr="00952D0B">
        <w:tc>
          <w:tcPr>
            <w:tcW w:w="0" w:type="auto"/>
            <w:hideMark/>
          </w:tcPr>
          <w:p w14:paraId="580CF988"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How does readmission vary by race?</w:t>
            </w:r>
          </w:p>
        </w:tc>
        <w:tc>
          <w:tcPr>
            <w:tcW w:w="0" w:type="auto"/>
            <w:hideMark/>
          </w:tcPr>
          <w:p w14:paraId="04CDAEFA"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Bar Chart</w:t>
            </w:r>
          </w:p>
        </w:tc>
      </w:tr>
      <w:tr w:rsidR="00952D0B" w:rsidRPr="00952D0B" w14:paraId="6CDC3DDB" w14:textId="77777777" w:rsidTr="00952D0B">
        <w:tc>
          <w:tcPr>
            <w:tcW w:w="0" w:type="auto"/>
            <w:hideMark/>
          </w:tcPr>
          <w:p w14:paraId="5DC66932"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What is the distribution of hospital stay?</w:t>
            </w:r>
          </w:p>
        </w:tc>
        <w:tc>
          <w:tcPr>
            <w:tcW w:w="0" w:type="auto"/>
            <w:hideMark/>
          </w:tcPr>
          <w:p w14:paraId="1FBE9163"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Histogram</w:t>
            </w:r>
          </w:p>
        </w:tc>
      </w:tr>
      <w:tr w:rsidR="00952D0B" w:rsidRPr="00952D0B" w14:paraId="72AB77C0" w14:textId="77777777" w:rsidTr="00952D0B">
        <w:tc>
          <w:tcPr>
            <w:tcW w:w="0" w:type="auto"/>
            <w:hideMark/>
          </w:tcPr>
          <w:p w14:paraId="583DF1EB"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How does previous inpatient utilization relate to readmission?</w:t>
            </w:r>
          </w:p>
        </w:tc>
        <w:tc>
          <w:tcPr>
            <w:tcW w:w="0" w:type="auto"/>
            <w:hideMark/>
          </w:tcPr>
          <w:p w14:paraId="5B76ABD9"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Bar/Column Chart</w:t>
            </w:r>
          </w:p>
        </w:tc>
      </w:tr>
      <w:tr w:rsidR="00952D0B" w:rsidRPr="00952D0B" w14:paraId="2DEF2FD0" w14:textId="77777777" w:rsidTr="00952D0B">
        <w:tc>
          <w:tcPr>
            <w:tcW w:w="0" w:type="auto"/>
            <w:hideMark/>
          </w:tcPr>
          <w:p w14:paraId="371DEB60"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How does medication count vary across outcomes?</w:t>
            </w:r>
          </w:p>
        </w:tc>
        <w:tc>
          <w:tcPr>
            <w:tcW w:w="0" w:type="auto"/>
            <w:hideMark/>
          </w:tcPr>
          <w:p w14:paraId="11DB87A3"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Box Plot</w:t>
            </w:r>
          </w:p>
        </w:tc>
      </w:tr>
      <w:tr w:rsidR="00952D0B" w:rsidRPr="00952D0B" w14:paraId="1A439936" w14:textId="77777777" w:rsidTr="00952D0B">
        <w:tc>
          <w:tcPr>
            <w:tcW w:w="0" w:type="auto"/>
            <w:hideMark/>
          </w:tcPr>
          <w:p w14:paraId="4C0A0FDC"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Which diagnoses appear frequently?</w:t>
            </w:r>
          </w:p>
        </w:tc>
        <w:tc>
          <w:tcPr>
            <w:tcW w:w="0" w:type="auto"/>
            <w:hideMark/>
          </w:tcPr>
          <w:p w14:paraId="390F47D5" w14:textId="77777777" w:rsidR="00952D0B" w:rsidRPr="00952D0B" w:rsidRDefault="00952D0B" w:rsidP="00952D0B">
            <w:pPr>
              <w:spacing w:after="160" w:line="259" w:lineRule="auto"/>
              <w:rPr>
                <w:rFonts w:ascii="Times New Roman" w:hAnsi="Times New Roman" w:cs="Times New Roman"/>
              </w:rPr>
            </w:pPr>
            <w:r w:rsidRPr="00952D0B">
              <w:rPr>
                <w:rFonts w:ascii="Times New Roman" w:hAnsi="Times New Roman" w:cs="Times New Roman"/>
              </w:rPr>
              <w:t>Bar Chart</w:t>
            </w:r>
          </w:p>
        </w:tc>
      </w:tr>
    </w:tbl>
    <w:p w14:paraId="2E59767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Each visualization should have a clear title, readable labels, appropriate scales, and sufficient context.</w:t>
      </w:r>
    </w:p>
    <w:p w14:paraId="3923C3B9" w14:textId="4D0C5BBB" w:rsidR="00952D0B" w:rsidRPr="00952D0B" w:rsidRDefault="00952D0B" w:rsidP="00952D0B">
      <w:pPr>
        <w:rPr>
          <w:rFonts w:ascii="Times New Roman" w:hAnsi="Times New Roman" w:cs="Times New Roman"/>
        </w:rPr>
      </w:pPr>
    </w:p>
    <w:p w14:paraId="2C186507"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13. Interpretation of Analytical Insights</w:t>
      </w:r>
    </w:p>
    <w:p w14:paraId="3EE888B2"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analysis is expected to identify patterns across demographic, clinical, and hospital-utilization variables.</w:t>
      </w:r>
    </w:p>
    <w:p w14:paraId="79D0F59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Potential areas of investigation include:</w:t>
      </w:r>
    </w:p>
    <w:p w14:paraId="606BB03F"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Differences in readmission outcomes across age groups.</w:t>
      </w:r>
    </w:p>
    <w:p w14:paraId="1E5558D9"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Differences in readmission patterns across demographic categories.</w:t>
      </w:r>
    </w:p>
    <w:p w14:paraId="4B3E4F41"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Associations between previous healthcare utilization and readmission.</w:t>
      </w:r>
    </w:p>
    <w:p w14:paraId="307342F6"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Relationships between hospital stay duration and readmission.</w:t>
      </w:r>
    </w:p>
    <w:p w14:paraId="50DCA2BF"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Differences in medication-related characteristics across readmission categories.</w:t>
      </w:r>
    </w:p>
    <w:p w14:paraId="3B5C48E3" w14:textId="77777777" w:rsidR="00952D0B" w:rsidRPr="00952D0B" w:rsidRDefault="00952D0B" w:rsidP="00952D0B">
      <w:pPr>
        <w:numPr>
          <w:ilvl w:val="0"/>
          <w:numId w:val="8"/>
        </w:numPr>
        <w:rPr>
          <w:rFonts w:ascii="Times New Roman" w:hAnsi="Times New Roman" w:cs="Times New Roman"/>
        </w:rPr>
      </w:pPr>
      <w:r w:rsidRPr="00952D0B">
        <w:rPr>
          <w:rFonts w:ascii="Times New Roman" w:hAnsi="Times New Roman" w:cs="Times New Roman"/>
        </w:rPr>
        <w:t>Associations between diagnosis-related characteristics and readmission.</w:t>
      </w:r>
    </w:p>
    <w:p w14:paraId="5E64FB9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These are </w:t>
      </w:r>
      <w:r w:rsidRPr="00952D0B">
        <w:rPr>
          <w:rFonts w:ascii="Times New Roman" w:hAnsi="Times New Roman" w:cs="Times New Roman"/>
          <w:b/>
          <w:bCs/>
        </w:rPr>
        <w:t>areas for investigation rather than confirmed findings</w:t>
      </w:r>
      <w:r w:rsidRPr="00952D0B">
        <w:rPr>
          <w:rFonts w:ascii="Times New Roman" w:hAnsi="Times New Roman" w:cs="Times New Roman"/>
        </w:rPr>
        <w:t xml:space="preserve"> until the actual numerical analysis is performed.</w:t>
      </w:r>
    </w:p>
    <w:p w14:paraId="6314A28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analysis will distinguish between statistical association and causation.</w:t>
      </w:r>
    </w:p>
    <w:p w14:paraId="29AAEFC1" w14:textId="723A98FF" w:rsidR="00952D0B" w:rsidRPr="00952D0B" w:rsidRDefault="00952D0B" w:rsidP="00952D0B">
      <w:pPr>
        <w:rPr>
          <w:rFonts w:ascii="Times New Roman" w:hAnsi="Times New Roman" w:cs="Times New Roman"/>
        </w:rPr>
      </w:pPr>
    </w:p>
    <w:p w14:paraId="1DBC7E21"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14. Discussion</w:t>
      </w:r>
    </w:p>
    <w:p w14:paraId="633F889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analytical findings should be interpreted within the context of the healthcare problem.</w:t>
      </w:r>
    </w:p>
    <w:p w14:paraId="1768B39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If differences are observed between patient groups, healthcare stakeholders should investigate potential explanations rather than immediately assuming a causal relationship.</w:t>
      </w:r>
    </w:p>
    <w:p w14:paraId="26BEAFC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lastRenderedPageBreak/>
        <w:t>For example, if a particular group demonstrates a higher readmission rate, the result may warrant further investigation into factors such as disease complexity, previous healthcare utilization, discharge planning, or access to follow-up care.</w:t>
      </w:r>
    </w:p>
    <w:p w14:paraId="7C6A2BC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Similarly, if previous inpatient utilization is associated with readmission, this could indicate that patients with greater healthcare needs may require closer monitoring. However, the relationship should be investigated further before recommending a specific intervention.</w:t>
      </w:r>
    </w:p>
    <w:p w14:paraId="101F2E65"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purpose of the analysis is therefore to identify meaningful patterns that can support evidence-based investigation and healthcare quality improvement.</w:t>
      </w:r>
    </w:p>
    <w:p w14:paraId="174380C8" w14:textId="2CEBEEF3" w:rsidR="00952D0B" w:rsidRPr="00952D0B" w:rsidRDefault="00952D0B" w:rsidP="00952D0B">
      <w:pPr>
        <w:rPr>
          <w:rFonts w:ascii="Times New Roman" w:hAnsi="Times New Roman" w:cs="Times New Roman"/>
        </w:rPr>
      </w:pPr>
    </w:p>
    <w:p w14:paraId="13B032F4"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15. Evidence-Based Recommendations</w:t>
      </w:r>
    </w:p>
    <w:p w14:paraId="699F7A4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recommendations below are linked to the types of insights that the proposed analysis is designed to identify.</w:t>
      </w:r>
    </w:p>
    <w:p w14:paraId="2621F19F"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Recommendation 1 — Strengthen Discharge Planning</w:t>
      </w:r>
    </w:p>
    <w:p w14:paraId="7F3F2AB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If the analysis identifies patient groups with elevated readmission patterns, healthcare organizations could consider enhanced discharge planning for appropriate high-risk groups.</w:t>
      </w:r>
    </w:p>
    <w:p w14:paraId="3556930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Possible actions include:</w:t>
      </w:r>
    </w:p>
    <w:p w14:paraId="5553911E" w14:textId="77777777" w:rsidR="00952D0B" w:rsidRPr="00952D0B" w:rsidRDefault="00952D0B" w:rsidP="00952D0B">
      <w:pPr>
        <w:numPr>
          <w:ilvl w:val="0"/>
          <w:numId w:val="9"/>
        </w:numPr>
        <w:rPr>
          <w:rFonts w:ascii="Times New Roman" w:hAnsi="Times New Roman" w:cs="Times New Roman"/>
        </w:rPr>
      </w:pPr>
      <w:r w:rsidRPr="00952D0B">
        <w:rPr>
          <w:rFonts w:ascii="Times New Roman" w:hAnsi="Times New Roman" w:cs="Times New Roman"/>
        </w:rPr>
        <w:t>Clear medication instructions</w:t>
      </w:r>
    </w:p>
    <w:p w14:paraId="01F3055E" w14:textId="77777777" w:rsidR="00952D0B" w:rsidRPr="00952D0B" w:rsidRDefault="00952D0B" w:rsidP="00952D0B">
      <w:pPr>
        <w:numPr>
          <w:ilvl w:val="0"/>
          <w:numId w:val="9"/>
        </w:numPr>
        <w:rPr>
          <w:rFonts w:ascii="Times New Roman" w:hAnsi="Times New Roman" w:cs="Times New Roman"/>
        </w:rPr>
      </w:pPr>
      <w:r w:rsidRPr="00952D0B">
        <w:rPr>
          <w:rFonts w:ascii="Times New Roman" w:hAnsi="Times New Roman" w:cs="Times New Roman"/>
        </w:rPr>
        <w:t>Follow-up appointment scheduling</w:t>
      </w:r>
    </w:p>
    <w:p w14:paraId="632195FA" w14:textId="77777777" w:rsidR="00952D0B" w:rsidRPr="00952D0B" w:rsidRDefault="00952D0B" w:rsidP="00952D0B">
      <w:pPr>
        <w:numPr>
          <w:ilvl w:val="0"/>
          <w:numId w:val="9"/>
        </w:numPr>
        <w:rPr>
          <w:rFonts w:ascii="Times New Roman" w:hAnsi="Times New Roman" w:cs="Times New Roman"/>
        </w:rPr>
      </w:pPr>
      <w:r w:rsidRPr="00952D0B">
        <w:rPr>
          <w:rFonts w:ascii="Times New Roman" w:hAnsi="Times New Roman" w:cs="Times New Roman"/>
        </w:rPr>
        <w:t>Patient education</w:t>
      </w:r>
    </w:p>
    <w:p w14:paraId="1A8385D2" w14:textId="77777777" w:rsidR="00952D0B" w:rsidRPr="00952D0B" w:rsidRDefault="00952D0B" w:rsidP="00952D0B">
      <w:pPr>
        <w:numPr>
          <w:ilvl w:val="0"/>
          <w:numId w:val="9"/>
        </w:numPr>
        <w:rPr>
          <w:rFonts w:ascii="Times New Roman" w:hAnsi="Times New Roman" w:cs="Times New Roman"/>
        </w:rPr>
      </w:pPr>
      <w:r w:rsidRPr="00952D0B">
        <w:rPr>
          <w:rFonts w:ascii="Times New Roman" w:hAnsi="Times New Roman" w:cs="Times New Roman"/>
        </w:rPr>
        <w:t>Communication with primary-care providers</w:t>
      </w:r>
    </w:p>
    <w:p w14:paraId="42B18648"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Recommendation 2 — Target Follow-Up Care</w:t>
      </w:r>
    </w:p>
    <w:p w14:paraId="2F794C7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Patients showing characteristics associated with higher readmission may benefit from closer follow-up after discharge.</w:t>
      </w:r>
    </w:p>
    <w:p w14:paraId="5B76BEE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Potential approaches include:</w:t>
      </w:r>
    </w:p>
    <w:p w14:paraId="7585952D" w14:textId="77777777" w:rsidR="00952D0B" w:rsidRPr="00952D0B" w:rsidRDefault="00952D0B" w:rsidP="00952D0B">
      <w:pPr>
        <w:numPr>
          <w:ilvl w:val="0"/>
          <w:numId w:val="10"/>
        </w:numPr>
        <w:rPr>
          <w:rFonts w:ascii="Times New Roman" w:hAnsi="Times New Roman" w:cs="Times New Roman"/>
        </w:rPr>
      </w:pPr>
      <w:r w:rsidRPr="00952D0B">
        <w:rPr>
          <w:rFonts w:ascii="Times New Roman" w:hAnsi="Times New Roman" w:cs="Times New Roman"/>
        </w:rPr>
        <w:t>Follow-up calls</w:t>
      </w:r>
    </w:p>
    <w:p w14:paraId="20B8DE94" w14:textId="77777777" w:rsidR="00952D0B" w:rsidRPr="00952D0B" w:rsidRDefault="00952D0B" w:rsidP="00952D0B">
      <w:pPr>
        <w:numPr>
          <w:ilvl w:val="0"/>
          <w:numId w:val="10"/>
        </w:numPr>
        <w:rPr>
          <w:rFonts w:ascii="Times New Roman" w:hAnsi="Times New Roman" w:cs="Times New Roman"/>
        </w:rPr>
      </w:pPr>
      <w:r w:rsidRPr="00952D0B">
        <w:rPr>
          <w:rFonts w:ascii="Times New Roman" w:hAnsi="Times New Roman" w:cs="Times New Roman"/>
        </w:rPr>
        <w:t>Appointment reminders</w:t>
      </w:r>
    </w:p>
    <w:p w14:paraId="6F3F97B9" w14:textId="77777777" w:rsidR="00952D0B" w:rsidRPr="00952D0B" w:rsidRDefault="00952D0B" w:rsidP="00952D0B">
      <w:pPr>
        <w:numPr>
          <w:ilvl w:val="0"/>
          <w:numId w:val="10"/>
        </w:numPr>
        <w:rPr>
          <w:rFonts w:ascii="Times New Roman" w:hAnsi="Times New Roman" w:cs="Times New Roman"/>
        </w:rPr>
      </w:pPr>
      <w:r w:rsidRPr="00952D0B">
        <w:rPr>
          <w:rFonts w:ascii="Times New Roman" w:hAnsi="Times New Roman" w:cs="Times New Roman"/>
        </w:rPr>
        <w:t>Medication review</w:t>
      </w:r>
    </w:p>
    <w:p w14:paraId="75AC8ABE" w14:textId="77777777" w:rsidR="00952D0B" w:rsidRPr="00952D0B" w:rsidRDefault="00952D0B" w:rsidP="00952D0B">
      <w:pPr>
        <w:numPr>
          <w:ilvl w:val="0"/>
          <w:numId w:val="10"/>
        </w:numPr>
        <w:rPr>
          <w:rFonts w:ascii="Times New Roman" w:hAnsi="Times New Roman" w:cs="Times New Roman"/>
        </w:rPr>
      </w:pPr>
      <w:r w:rsidRPr="00952D0B">
        <w:rPr>
          <w:rFonts w:ascii="Times New Roman" w:hAnsi="Times New Roman" w:cs="Times New Roman"/>
        </w:rPr>
        <w:t>Remote monitoring where appropriate</w:t>
      </w:r>
    </w:p>
    <w:p w14:paraId="775382A5"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Recommendation 3 — Identify High-Utilization Patients</w:t>
      </w:r>
    </w:p>
    <w:p w14:paraId="59C7FC3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If previous inpatient or emergency utilization is associated with readmission, healthcare teams could use this information as one factor for identifying patients who may require additional review.</w:t>
      </w:r>
    </w:p>
    <w:p w14:paraId="6824733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This should be used as a decision-support mechanism rather than an automatic clinical decision.</w:t>
      </w:r>
    </w:p>
    <w:p w14:paraId="59651AFC"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Recommendation 4 — Improve Data Quality</w:t>
      </w:r>
    </w:p>
    <w:p w14:paraId="16C9281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Healthcare analytics teams should continue improving the completeness and consistency of patient data.</w:t>
      </w:r>
    </w:p>
    <w:p w14:paraId="3E14AFF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Better data quality can improve:</w:t>
      </w:r>
    </w:p>
    <w:p w14:paraId="3AAF3886" w14:textId="77777777" w:rsidR="00952D0B" w:rsidRPr="00952D0B" w:rsidRDefault="00952D0B" w:rsidP="00952D0B">
      <w:pPr>
        <w:numPr>
          <w:ilvl w:val="0"/>
          <w:numId w:val="11"/>
        </w:numPr>
        <w:rPr>
          <w:rFonts w:ascii="Times New Roman" w:hAnsi="Times New Roman" w:cs="Times New Roman"/>
        </w:rPr>
      </w:pPr>
      <w:r w:rsidRPr="00952D0B">
        <w:rPr>
          <w:rFonts w:ascii="Times New Roman" w:hAnsi="Times New Roman" w:cs="Times New Roman"/>
        </w:rPr>
        <w:lastRenderedPageBreak/>
        <w:t>Statistical analysis</w:t>
      </w:r>
    </w:p>
    <w:p w14:paraId="6F184372" w14:textId="77777777" w:rsidR="00952D0B" w:rsidRPr="00952D0B" w:rsidRDefault="00952D0B" w:rsidP="00952D0B">
      <w:pPr>
        <w:numPr>
          <w:ilvl w:val="0"/>
          <w:numId w:val="11"/>
        </w:numPr>
        <w:rPr>
          <w:rFonts w:ascii="Times New Roman" w:hAnsi="Times New Roman" w:cs="Times New Roman"/>
        </w:rPr>
      </w:pPr>
      <w:r w:rsidRPr="00952D0B">
        <w:rPr>
          <w:rFonts w:ascii="Times New Roman" w:hAnsi="Times New Roman" w:cs="Times New Roman"/>
        </w:rPr>
        <w:t xml:space="preserve">Predictive </w:t>
      </w:r>
      <w:proofErr w:type="spellStart"/>
      <w:r w:rsidRPr="00952D0B">
        <w:rPr>
          <w:rFonts w:ascii="Times New Roman" w:hAnsi="Times New Roman" w:cs="Times New Roman"/>
        </w:rPr>
        <w:t>modeling</w:t>
      </w:r>
      <w:proofErr w:type="spellEnd"/>
    </w:p>
    <w:p w14:paraId="10E0534B" w14:textId="77777777" w:rsidR="00952D0B" w:rsidRPr="00952D0B" w:rsidRDefault="00952D0B" w:rsidP="00952D0B">
      <w:pPr>
        <w:numPr>
          <w:ilvl w:val="0"/>
          <w:numId w:val="11"/>
        </w:numPr>
        <w:rPr>
          <w:rFonts w:ascii="Times New Roman" w:hAnsi="Times New Roman" w:cs="Times New Roman"/>
        </w:rPr>
      </w:pPr>
      <w:r w:rsidRPr="00952D0B">
        <w:rPr>
          <w:rFonts w:ascii="Times New Roman" w:hAnsi="Times New Roman" w:cs="Times New Roman"/>
        </w:rPr>
        <w:t>Dashboard accuracy</w:t>
      </w:r>
    </w:p>
    <w:p w14:paraId="08E826DC" w14:textId="77777777" w:rsidR="00952D0B" w:rsidRPr="00952D0B" w:rsidRDefault="00952D0B" w:rsidP="00952D0B">
      <w:pPr>
        <w:numPr>
          <w:ilvl w:val="0"/>
          <w:numId w:val="11"/>
        </w:numPr>
        <w:rPr>
          <w:rFonts w:ascii="Times New Roman" w:hAnsi="Times New Roman" w:cs="Times New Roman"/>
        </w:rPr>
      </w:pPr>
      <w:r w:rsidRPr="00952D0B">
        <w:rPr>
          <w:rFonts w:ascii="Times New Roman" w:hAnsi="Times New Roman" w:cs="Times New Roman"/>
        </w:rPr>
        <w:t>Decision support</w:t>
      </w:r>
    </w:p>
    <w:p w14:paraId="4D278BC1"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Recommendation 5 — Use Predictive Models Responsibly</w:t>
      </w:r>
    </w:p>
    <w:p w14:paraId="0129500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If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demonstrates useful performance, models may support risk identification and resource planning.</w:t>
      </w:r>
    </w:p>
    <w:p w14:paraId="28F0832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However, predictions should be reviewed by qualified healthcare professionals before being used in practical decision-making.</w:t>
      </w:r>
    </w:p>
    <w:p w14:paraId="2DE50C46" w14:textId="709C0801" w:rsidR="00952D0B" w:rsidRPr="00952D0B" w:rsidRDefault="00952D0B" w:rsidP="00952D0B">
      <w:pPr>
        <w:rPr>
          <w:rFonts w:ascii="Times New Roman" w:hAnsi="Times New Roman" w:cs="Times New Roman"/>
        </w:rPr>
      </w:pPr>
    </w:p>
    <w:p w14:paraId="47149DE0"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16. Implications for Healthcare Decision-Making</w:t>
      </w:r>
    </w:p>
    <w:p w14:paraId="7CF984A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proposed analytical framework can support healthcare stakeholders in several areas.</w:t>
      </w:r>
    </w:p>
    <w:p w14:paraId="0B63274E"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Hospital Management</w:t>
      </w:r>
    </w:p>
    <w:p w14:paraId="75E7A1F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Managers may use aggregated readmission trends to identify areas requiring quality-improvement investigation.</w:t>
      </w:r>
    </w:p>
    <w:p w14:paraId="523E7220"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Healthcare Quality Teams</w:t>
      </w:r>
    </w:p>
    <w:p w14:paraId="40AD225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Quality teams may examine readmission patterns across patient characteristics and healthcare utilization variables.</w:t>
      </w:r>
    </w:p>
    <w:p w14:paraId="4D0B7950"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Clinical Teams</w:t>
      </w:r>
    </w:p>
    <w:p w14:paraId="4C39C8C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Clinicians may use analytical findings as supplementary information when reviewing patient care processes.</w:t>
      </w:r>
    </w:p>
    <w:p w14:paraId="5FD77405"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Healthcare Researchers</w:t>
      </w:r>
    </w:p>
    <w:p w14:paraId="678AD0D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Researchers may use the findings to develop further hypotheses regarding factors associated with readmission.</w:t>
      </w:r>
    </w:p>
    <w:p w14:paraId="537A869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analysis should support decision-making rather than replace professional judgment.</w:t>
      </w:r>
    </w:p>
    <w:p w14:paraId="1E8A61CB" w14:textId="0365B9F8" w:rsidR="00952D0B" w:rsidRPr="00952D0B" w:rsidRDefault="00952D0B" w:rsidP="00952D0B">
      <w:pPr>
        <w:rPr>
          <w:rFonts w:ascii="Times New Roman" w:hAnsi="Times New Roman" w:cs="Times New Roman"/>
        </w:rPr>
      </w:pPr>
    </w:p>
    <w:p w14:paraId="3DD663CA"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17. Limitations</w:t>
      </w:r>
    </w:p>
    <w:p w14:paraId="64BF1B5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Several limitations must be considered.</w:t>
      </w:r>
    </w:p>
    <w:p w14:paraId="1287D19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Historical Data</w:t>
      </w:r>
    </w:p>
    <w:p w14:paraId="7F80353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dataset covers 1999–2008 and may not represent current healthcare practices.</w:t>
      </w:r>
    </w:p>
    <w:p w14:paraId="74858080"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Missing Information</w:t>
      </w:r>
    </w:p>
    <w:p w14:paraId="409F975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Some variables contain substantial missing information, which may limit their analytical usefulness.</w:t>
      </w:r>
    </w:p>
    <w:p w14:paraId="457D297D"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Observational Dataset</w:t>
      </w:r>
    </w:p>
    <w:p w14:paraId="6DAD6E2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dataset is observational, so statistical associations cannot automatically establish causality.</w:t>
      </w:r>
    </w:p>
    <w:p w14:paraId="3168EFBF"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lastRenderedPageBreak/>
        <w:t>Generalizability</w:t>
      </w:r>
    </w:p>
    <w:p w14:paraId="21C230C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data comes from a specific healthcare setting and may not generalize to every hospital or patient population.</w:t>
      </w:r>
    </w:p>
    <w:p w14:paraId="31D70E14"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Potential Bias</w:t>
      </w:r>
    </w:p>
    <w:p w14:paraId="2243D46F"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Historical data may reflect differences in healthcare access, documentation practices, and population representation.</w:t>
      </w:r>
    </w:p>
    <w:p w14:paraId="1F395E86"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 xml:space="preserve">Predictive </w:t>
      </w:r>
      <w:proofErr w:type="spellStart"/>
      <w:r w:rsidRPr="00952D0B">
        <w:rPr>
          <w:rFonts w:ascii="Times New Roman" w:hAnsi="Times New Roman" w:cs="Times New Roman"/>
          <w:b/>
          <w:bCs/>
        </w:rPr>
        <w:t>Modeling</w:t>
      </w:r>
      <w:proofErr w:type="spellEnd"/>
      <w:r w:rsidRPr="00952D0B">
        <w:rPr>
          <w:rFonts w:ascii="Times New Roman" w:hAnsi="Times New Roman" w:cs="Times New Roman"/>
          <w:b/>
          <w:bCs/>
        </w:rPr>
        <w:t xml:space="preserve"> Limitations</w:t>
      </w:r>
    </w:p>
    <w:p w14:paraId="76EBF6F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Machine-learning predictions are based on patterns in historical data and may not perform equally well across all populations.</w:t>
      </w:r>
    </w:p>
    <w:p w14:paraId="556F76F1"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Clinical Limitations</w:t>
      </w:r>
    </w:p>
    <w:p w14:paraId="3032E161"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A predictive model should not be considered a substitute for professional clinical assessment.</w:t>
      </w:r>
    </w:p>
    <w:p w14:paraId="2AFD1A4F" w14:textId="0D6C00C2" w:rsidR="00952D0B" w:rsidRPr="00952D0B" w:rsidRDefault="00952D0B" w:rsidP="00952D0B">
      <w:pPr>
        <w:rPr>
          <w:rFonts w:ascii="Times New Roman" w:hAnsi="Times New Roman" w:cs="Times New Roman"/>
        </w:rPr>
      </w:pPr>
    </w:p>
    <w:p w14:paraId="4AE71AE5"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18. Future Considerations and Research</w:t>
      </w:r>
    </w:p>
    <w:p w14:paraId="1EFFA70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Future work could improve the project by:</w:t>
      </w:r>
    </w:p>
    <w:p w14:paraId="50B65C61"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Using more recent healthcare data.</w:t>
      </w:r>
    </w:p>
    <w:p w14:paraId="7F02C39C"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Validating the models on an external dataset.</w:t>
      </w:r>
    </w:p>
    <w:p w14:paraId="281737BA"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Including additional clinical variables.</w:t>
      </w:r>
    </w:p>
    <w:p w14:paraId="1DC19E62"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Performing detailed subgroup fairness analysis.</w:t>
      </w:r>
    </w:p>
    <w:p w14:paraId="27E5D7D7"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Testing additional machine-learning algorithms.</w:t>
      </w:r>
    </w:p>
    <w:p w14:paraId="37961C76"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Investigating causal relationships.</w:t>
      </w:r>
    </w:p>
    <w:p w14:paraId="14CEAE0A"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Conducting prospective validation.</w:t>
      </w:r>
    </w:p>
    <w:p w14:paraId="57F780EF"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Working with healthcare professionals to assess practical usefulness.</w:t>
      </w:r>
    </w:p>
    <w:p w14:paraId="4D1A3FB8"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Monitoring model performance after deployment.</w:t>
      </w:r>
    </w:p>
    <w:p w14:paraId="030B4918" w14:textId="77777777" w:rsidR="00952D0B" w:rsidRPr="00952D0B" w:rsidRDefault="00952D0B" w:rsidP="00952D0B">
      <w:pPr>
        <w:numPr>
          <w:ilvl w:val="0"/>
          <w:numId w:val="12"/>
        </w:numPr>
        <w:rPr>
          <w:rFonts w:ascii="Times New Roman" w:hAnsi="Times New Roman" w:cs="Times New Roman"/>
        </w:rPr>
      </w:pPr>
      <w:r w:rsidRPr="00952D0B">
        <w:rPr>
          <w:rFonts w:ascii="Times New Roman" w:hAnsi="Times New Roman" w:cs="Times New Roman"/>
        </w:rPr>
        <w:t>Investigating whether recommended interventions actually reduce readmission.</w:t>
      </w:r>
    </w:p>
    <w:p w14:paraId="62FFC9A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Future research should also examine whether model performance remains consistent across demographic and clinical subgroups.</w:t>
      </w:r>
    </w:p>
    <w:p w14:paraId="09E6E9E7" w14:textId="29F74057" w:rsidR="00952D0B" w:rsidRPr="00952D0B" w:rsidRDefault="00952D0B" w:rsidP="00952D0B">
      <w:pPr>
        <w:rPr>
          <w:rFonts w:ascii="Times New Roman" w:hAnsi="Times New Roman" w:cs="Times New Roman"/>
        </w:rPr>
      </w:pPr>
    </w:p>
    <w:p w14:paraId="7AA8072D"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19. Ethical Considerations</w:t>
      </w:r>
    </w:p>
    <w:p w14:paraId="1B283566"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Healthcare analytics must prioritize responsible use of data.</w:t>
      </w:r>
    </w:p>
    <w:p w14:paraId="70953AD5"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Important principles include:</w:t>
      </w:r>
    </w:p>
    <w:p w14:paraId="27FEE0BC"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t>Patient privacy</w:t>
      </w:r>
    </w:p>
    <w:p w14:paraId="780060BD"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t>Data confidentiality</w:t>
      </w:r>
    </w:p>
    <w:p w14:paraId="418C27B3"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t>Fairness</w:t>
      </w:r>
    </w:p>
    <w:p w14:paraId="38DBCD61"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t>Transparency</w:t>
      </w:r>
    </w:p>
    <w:p w14:paraId="6362C36D"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lastRenderedPageBreak/>
        <w:t>Accountability</w:t>
      </w:r>
    </w:p>
    <w:p w14:paraId="5EF0077C" w14:textId="77777777" w:rsidR="00952D0B" w:rsidRPr="00952D0B" w:rsidRDefault="00952D0B" w:rsidP="00952D0B">
      <w:pPr>
        <w:numPr>
          <w:ilvl w:val="0"/>
          <w:numId w:val="13"/>
        </w:numPr>
        <w:rPr>
          <w:rFonts w:ascii="Times New Roman" w:hAnsi="Times New Roman" w:cs="Times New Roman"/>
        </w:rPr>
      </w:pPr>
      <w:r w:rsidRPr="00952D0B">
        <w:rPr>
          <w:rFonts w:ascii="Times New Roman" w:hAnsi="Times New Roman" w:cs="Times New Roman"/>
        </w:rPr>
        <w:t>Human oversight</w:t>
      </w:r>
    </w:p>
    <w:p w14:paraId="395C068D"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project will not attempt to identify individual patients.</w:t>
      </w:r>
    </w:p>
    <w:p w14:paraId="1A741549"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Predictive models should not be used to make automated medical decisions without appropriate professional oversight.</w:t>
      </w:r>
    </w:p>
    <w:p w14:paraId="72613EA0"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Potential demographic bias should be assessed, and model performance should be examined across relevant groups where appropriate.</w:t>
      </w:r>
    </w:p>
    <w:p w14:paraId="17AC674E"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results should be communicated carefully to avoid stigmatizing specific patient groups.</w:t>
      </w:r>
    </w:p>
    <w:p w14:paraId="4C03D375" w14:textId="17516E0A" w:rsidR="00952D0B" w:rsidRPr="00952D0B" w:rsidRDefault="00952D0B" w:rsidP="00952D0B">
      <w:pPr>
        <w:rPr>
          <w:rFonts w:ascii="Times New Roman" w:hAnsi="Times New Roman" w:cs="Times New Roman"/>
        </w:rPr>
      </w:pPr>
    </w:p>
    <w:p w14:paraId="49D40B37"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20. Conclusion</w:t>
      </w:r>
    </w:p>
    <w:p w14:paraId="66BF2368"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This report provides a structured framework for </w:t>
      </w:r>
      <w:proofErr w:type="spellStart"/>
      <w:r w:rsidRPr="00952D0B">
        <w:rPr>
          <w:rFonts w:ascii="Times New Roman" w:hAnsi="Times New Roman" w:cs="Times New Roman"/>
        </w:rPr>
        <w:t>analyzing</w:t>
      </w:r>
      <w:proofErr w:type="spellEnd"/>
      <w:r w:rsidRPr="00952D0B">
        <w:rPr>
          <w:rFonts w:ascii="Times New Roman" w:hAnsi="Times New Roman" w:cs="Times New Roman"/>
        </w:rPr>
        <w:t xml:space="preserve"> patient readmission patterns using the Diabetes 130-US Hospitals dataset.</w:t>
      </w:r>
    </w:p>
    <w:p w14:paraId="4DBE323C"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 xml:space="preserve">The proposed methodology combines statistical analysis, visualization, and predictive </w:t>
      </w:r>
      <w:proofErr w:type="spellStart"/>
      <w:r w:rsidRPr="00952D0B">
        <w:rPr>
          <w:rFonts w:ascii="Times New Roman" w:hAnsi="Times New Roman" w:cs="Times New Roman"/>
        </w:rPr>
        <w:t>modeling</w:t>
      </w:r>
      <w:proofErr w:type="spellEnd"/>
      <w:r w:rsidRPr="00952D0B">
        <w:rPr>
          <w:rFonts w:ascii="Times New Roman" w:hAnsi="Times New Roman" w:cs="Times New Roman"/>
        </w:rPr>
        <w:t xml:space="preserve"> to transform healthcare data into useful information for decision support.</w:t>
      </w:r>
    </w:p>
    <w:p w14:paraId="1499FF6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analysis will examine demographic, clinical, hospitalization, medication, and healthcare-utilization characteristics in relation to the readmitted outcome. Statistical techniques will help identify important relationships, while predictive models such as Logistic Regression, Decision Tree, and Random Forest will provide alternative approaches for classification.</w:t>
      </w:r>
    </w:p>
    <w:p w14:paraId="72E75FC4"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The resulting insights can potentially support healthcare quality-improvement activities, including enhanced discharge planning, targeted follow-up, and identification of patients requiring further investigation.</w:t>
      </w:r>
    </w:p>
    <w:p w14:paraId="3151C423"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However, all recommendations must be interpreted within the limitations of the historical and observational dataset. Statistical association should not be confused with causation, and predictive models should support rather than replace clinical judgment.</w:t>
      </w:r>
    </w:p>
    <w:p w14:paraId="28DE35C7" w14:textId="77777777" w:rsidR="00952D0B" w:rsidRPr="00952D0B" w:rsidRDefault="00952D0B" w:rsidP="00952D0B">
      <w:pPr>
        <w:rPr>
          <w:rFonts w:ascii="Times New Roman" w:hAnsi="Times New Roman" w:cs="Times New Roman"/>
        </w:rPr>
      </w:pPr>
      <w:r w:rsidRPr="00952D0B">
        <w:rPr>
          <w:rFonts w:ascii="Times New Roman" w:hAnsi="Times New Roman" w:cs="Times New Roman"/>
        </w:rPr>
        <w:t>Future work should involve actual numerical analysis, external validation, fairness assessment, and evaluation using more recent healthcare data.</w:t>
      </w:r>
    </w:p>
    <w:p w14:paraId="6FC1DC92" w14:textId="252854FF" w:rsidR="00952D0B" w:rsidRPr="00952D0B" w:rsidRDefault="00952D0B" w:rsidP="00952D0B">
      <w:pPr>
        <w:rPr>
          <w:rFonts w:ascii="Times New Roman" w:hAnsi="Times New Roman" w:cs="Times New Roman"/>
        </w:rPr>
      </w:pPr>
    </w:p>
    <w:p w14:paraId="7B37BF9A" w14:textId="77777777" w:rsidR="00952D0B" w:rsidRPr="00952D0B" w:rsidRDefault="00952D0B" w:rsidP="00952D0B">
      <w:pPr>
        <w:rPr>
          <w:rFonts w:ascii="Times New Roman" w:hAnsi="Times New Roman" w:cs="Times New Roman"/>
          <w:b/>
          <w:bCs/>
        </w:rPr>
      </w:pPr>
      <w:r w:rsidRPr="00952D0B">
        <w:rPr>
          <w:rFonts w:ascii="Times New Roman" w:hAnsi="Times New Roman" w:cs="Times New Roman"/>
          <w:b/>
          <w:bCs/>
        </w:rPr>
        <w:t>21. References</w:t>
      </w:r>
    </w:p>
    <w:p w14:paraId="24BE6CCF"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Strack, B., DeShazo, J. P., Gennings, C., Olmo, J. L., Ventura, S., </w:t>
      </w:r>
      <w:proofErr w:type="spellStart"/>
      <w:r w:rsidRPr="00952D0B">
        <w:rPr>
          <w:rFonts w:ascii="Times New Roman" w:hAnsi="Times New Roman" w:cs="Times New Roman"/>
        </w:rPr>
        <w:t>Cios</w:t>
      </w:r>
      <w:proofErr w:type="spellEnd"/>
      <w:r w:rsidRPr="00952D0B">
        <w:rPr>
          <w:rFonts w:ascii="Times New Roman" w:hAnsi="Times New Roman" w:cs="Times New Roman"/>
        </w:rPr>
        <w:t xml:space="preserve">, K., &amp; Clore, J. N. (2014). Impact of HbA1c Measurement on Hospital Readmission Rates: Analysis of 70,000 Clinical Database Patient Records. </w:t>
      </w:r>
      <w:r w:rsidRPr="00952D0B">
        <w:rPr>
          <w:rFonts w:ascii="Times New Roman" w:hAnsi="Times New Roman" w:cs="Times New Roman"/>
          <w:i/>
          <w:iCs/>
        </w:rPr>
        <w:t>BioMed Research International</w:t>
      </w:r>
      <w:r w:rsidRPr="00952D0B">
        <w:rPr>
          <w:rFonts w:ascii="Times New Roman" w:hAnsi="Times New Roman" w:cs="Times New Roman"/>
        </w:rPr>
        <w:t>, 2014.</w:t>
      </w:r>
    </w:p>
    <w:p w14:paraId="38611066"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UCI Machine Learning Repository. </w:t>
      </w:r>
      <w:r w:rsidRPr="00952D0B">
        <w:rPr>
          <w:rFonts w:ascii="Times New Roman" w:hAnsi="Times New Roman" w:cs="Times New Roman"/>
          <w:i/>
          <w:iCs/>
        </w:rPr>
        <w:t>Diabetes 130-US Hospitals for Years 1999–2008</w:t>
      </w:r>
      <w:r w:rsidRPr="00952D0B">
        <w:rPr>
          <w:rFonts w:ascii="Times New Roman" w:hAnsi="Times New Roman" w:cs="Times New Roman"/>
        </w:rPr>
        <w:t>.</w:t>
      </w:r>
    </w:p>
    <w:p w14:paraId="7EBEF2AA"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Hastie, T., </w:t>
      </w:r>
      <w:proofErr w:type="spellStart"/>
      <w:r w:rsidRPr="00952D0B">
        <w:rPr>
          <w:rFonts w:ascii="Times New Roman" w:hAnsi="Times New Roman" w:cs="Times New Roman"/>
        </w:rPr>
        <w:t>Tibshirani</w:t>
      </w:r>
      <w:proofErr w:type="spellEnd"/>
      <w:r w:rsidRPr="00952D0B">
        <w:rPr>
          <w:rFonts w:ascii="Times New Roman" w:hAnsi="Times New Roman" w:cs="Times New Roman"/>
        </w:rPr>
        <w:t xml:space="preserve">, R., &amp; Friedman, J. (2009). </w:t>
      </w:r>
      <w:r w:rsidRPr="00952D0B">
        <w:rPr>
          <w:rFonts w:ascii="Times New Roman" w:hAnsi="Times New Roman" w:cs="Times New Roman"/>
          <w:i/>
          <w:iCs/>
        </w:rPr>
        <w:t>The Elements of Statistical Learning</w:t>
      </w:r>
      <w:r w:rsidRPr="00952D0B">
        <w:rPr>
          <w:rFonts w:ascii="Times New Roman" w:hAnsi="Times New Roman" w:cs="Times New Roman"/>
        </w:rPr>
        <w:t>. Springer.</w:t>
      </w:r>
    </w:p>
    <w:p w14:paraId="7E706D3F"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Kuhn, M., &amp; Johnson, K. (2013). </w:t>
      </w:r>
      <w:r w:rsidRPr="00952D0B">
        <w:rPr>
          <w:rFonts w:ascii="Times New Roman" w:hAnsi="Times New Roman" w:cs="Times New Roman"/>
          <w:i/>
          <w:iCs/>
        </w:rPr>
        <w:t xml:space="preserve">Applied Predictive </w:t>
      </w:r>
      <w:proofErr w:type="spellStart"/>
      <w:r w:rsidRPr="00952D0B">
        <w:rPr>
          <w:rFonts w:ascii="Times New Roman" w:hAnsi="Times New Roman" w:cs="Times New Roman"/>
          <w:i/>
          <w:iCs/>
        </w:rPr>
        <w:t>Modeling</w:t>
      </w:r>
      <w:proofErr w:type="spellEnd"/>
      <w:r w:rsidRPr="00952D0B">
        <w:rPr>
          <w:rFonts w:ascii="Times New Roman" w:hAnsi="Times New Roman" w:cs="Times New Roman"/>
        </w:rPr>
        <w:t>. Springer.</w:t>
      </w:r>
    </w:p>
    <w:p w14:paraId="3A1C1614"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Pedregosa, F., et al. (2011). Scikit-learn: Machine Learning in Python. </w:t>
      </w:r>
      <w:r w:rsidRPr="00952D0B">
        <w:rPr>
          <w:rFonts w:ascii="Times New Roman" w:hAnsi="Times New Roman" w:cs="Times New Roman"/>
          <w:i/>
          <w:iCs/>
        </w:rPr>
        <w:t>Journal of Machine Learning Research</w:t>
      </w:r>
      <w:r w:rsidRPr="00952D0B">
        <w:rPr>
          <w:rFonts w:ascii="Times New Roman" w:hAnsi="Times New Roman" w:cs="Times New Roman"/>
        </w:rPr>
        <w:t>, 12, 2825–2830.</w:t>
      </w:r>
    </w:p>
    <w:p w14:paraId="6287D169"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lastRenderedPageBreak/>
        <w:t xml:space="preserve">World Health Organization. (2021). </w:t>
      </w:r>
      <w:r w:rsidRPr="00952D0B">
        <w:rPr>
          <w:rFonts w:ascii="Times New Roman" w:hAnsi="Times New Roman" w:cs="Times New Roman"/>
          <w:i/>
          <w:iCs/>
        </w:rPr>
        <w:t>Ethics and Governance of Artificial Intelligence for Health</w:t>
      </w:r>
      <w:r w:rsidRPr="00952D0B">
        <w:rPr>
          <w:rFonts w:ascii="Times New Roman" w:hAnsi="Times New Roman" w:cs="Times New Roman"/>
        </w:rPr>
        <w:t>.</w:t>
      </w:r>
    </w:p>
    <w:p w14:paraId="0F798250"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Python Software Foundation. </w:t>
      </w:r>
      <w:r w:rsidRPr="00952D0B">
        <w:rPr>
          <w:rFonts w:ascii="Times New Roman" w:hAnsi="Times New Roman" w:cs="Times New Roman"/>
          <w:i/>
          <w:iCs/>
        </w:rPr>
        <w:t>Python Documentation</w:t>
      </w:r>
      <w:r w:rsidRPr="00952D0B">
        <w:rPr>
          <w:rFonts w:ascii="Times New Roman" w:hAnsi="Times New Roman" w:cs="Times New Roman"/>
        </w:rPr>
        <w:t>.</w:t>
      </w:r>
    </w:p>
    <w:p w14:paraId="4388F062" w14:textId="77777777" w:rsidR="00952D0B" w:rsidRPr="00952D0B" w:rsidRDefault="00952D0B" w:rsidP="00952D0B">
      <w:pPr>
        <w:numPr>
          <w:ilvl w:val="0"/>
          <w:numId w:val="14"/>
        </w:numPr>
        <w:rPr>
          <w:rFonts w:ascii="Times New Roman" w:hAnsi="Times New Roman" w:cs="Times New Roman"/>
        </w:rPr>
      </w:pPr>
      <w:r w:rsidRPr="00952D0B">
        <w:rPr>
          <w:rFonts w:ascii="Times New Roman" w:hAnsi="Times New Roman" w:cs="Times New Roman"/>
        </w:rPr>
        <w:t xml:space="preserve">Pandas Development Team. </w:t>
      </w:r>
      <w:r w:rsidRPr="00952D0B">
        <w:rPr>
          <w:rFonts w:ascii="Times New Roman" w:hAnsi="Times New Roman" w:cs="Times New Roman"/>
          <w:i/>
          <w:iCs/>
        </w:rPr>
        <w:t>pandas Documentation</w:t>
      </w:r>
      <w:r w:rsidRPr="00952D0B">
        <w:rPr>
          <w:rFonts w:ascii="Times New Roman" w:hAnsi="Times New Roman" w:cs="Times New Roman"/>
        </w:rPr>
        <w:t>.</w:t>
      </w:r>
    </w:p>
    <w:p w14:paraId="63BECA7E" w14:textId="77777777" w:rsidR="007F2A4E" w:rsidRPr="00952D0B" w:rsidRDefault="007F2A4E">
      <w:pPr>
        <w:rPr>
          <w:rFonts w:ascii="Times New Roman" w:hAnsi="Times New Roman" w:cs="Times New Roman"/>
        </w:rPr>
      </w:pPr>
    </w:p>
    <w:sectPr w:rsidR="007F2A4E" w:rsidRPr="00952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2DF"/>
    <w:multiLevelType w:val="multilevel"/>
    <w:tmpl w:val="0CF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951FB"/>
    <w:multiLevelType w:val="multilevel"/>
    <w:tmpl w:val="8FB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A7BD8"/>
    <w:multiLevelType w:val="multilevel"/>
    <w:tmpl w:val="DE4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C2438"/>
    <w:multiLevelType w:val="multilevel"/>
    <w:tmpl w:val="715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4408E"/>
    <w:multiLevelType w:val="multilevel"/>
    <w:tmpl w:val="833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546C7"/>
    <w:multiLevelType w:val="multilevel"/>
    <w:tmpl w:val="2BE2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74B7C"/>
    <w:multiLevelType w:val="multilevel"/>
    <w:tmpl w:val="51C6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86B5C"/>
    <w:multiLevelType w:val="multilevel"/>
    <w:tmpl w:val="072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47A33"/>
    <w:multiLevelType w:val="multilevel"/>
    <w:tmpl w:val="7F2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C227D"/>
    <w:multiLevelType w:val="multilevel"/>
    <w:tmpl w:val="B38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95F75"/>
    <w:multiLevelType w:val="multilevel"/>
    <w:tmpl w:val="BA00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75B4"/>
    <w:multiLevelType w:val="multilevel"/>
    <w:tmpl w:val="A38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65284"/>
    <w:multiLevelType w:val="multilevel"/>
    <w:tmpl w:val="ABB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04F7C"/>
    <w:multiLevelType w:val="multilevel"/>
    <w:tmpl w:val="2054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853700">
    <w:abstractNumId w:val="6"/>
  </w:num>
  <w:num w:numId="2" w16cid:durableId="850266038">
    <w:abstractNumId w:val="8"/>
  </w:num>
  <w:num w:numId="3" w16cid:durableId="968121212">
    <w:abstractNumId w:val="12"/>
  </w:num>
  <w:num w:numId="4" w16cid:durableId="1912814860">
    <w:abstractNumId w:val="11"/>
  </w:num>
  <w:num w:numId="5" w16cid:durableId="2047678669">
    <w:abstractNumId w:val="3"/>
  </w:num>
  <w:num w:numId="6" w16cid:durableId="1414930835">
    <w:abstractNumId w:val="1"/>
  </w:num>
  <w:num w:numId="7" w16cid:durableId="68238766">
    <w:abstractNumId w:val="7"/>
  </w:num>
  <w:num w:numId="8" w16cid:durableId="1697535535">
    <w:abstractNumId w:val="2"/>
  </w:num>
  <w:num w:numId="9" w16cid:durableId="1599560348">
    <w:abstractNumId w:val="0"/>
  </w:num>
  <w:num w:numId="10" w16cid:durableId="1390612595">
    <w:abstractNumId w:val="9"/>
  </w:num>
  <w:num w:numId="11" w16cid:durableId="2048917926">
    <w:abstractNumId w:val="4"/>
  </w:num>
  <w:num w:numId="12" w16cid:durableId="494806600">
    <w:abstractNumId w:val="13"/>
  </w:num>
  <w:num w:numId="13" w16cid:durableId="1558586547">
    <w:abstractNumId w:val="10"/>
  </w:num>
  <w:num w:numId="14" w16cid:durableId="1910918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0B"/>
    <w:rsid w:val="002F02DE"/>
    <w:rsid w:val="007F2A4E"/>
    <w:rsid w:val="00952D0B"/>
    <w:rsid w:val="00D26CB3"/>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EDCA"/>
  <w15:chartTrackingRefBased/>
  <w15:docId w15:val="{AC05585D-EEB8-4886-B35D-2FA98324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D0B"/>
    <w:rPr>
      <w:rFonts w:eastAsiaTheme="majorEastAsia" w:cstheme="majorBidi"/>
      <w:color w:val="272727" w:themeColor="text1" w:themeTint="D8"/>
    </w:rPr>
  </w:style>
  <w:style w:type="paragraph" w:styleId="Title">
    <w:name w:val="Title"/>
    <w:basedOn w:val="Normal"/>
    <w:next w:val="Normal"/>
    <w:link w:val="TitleChar"/>
    <w:uiPriority w:val="10"/>
    <w:qFormat/>
    <w:rsid w:val="0095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D0B"/>
    <w:pPr>
      <w:spacing w:before="160"/>
      <w:jc w:val="center"/>
    </w:pPr>
    <w:rPr>
      <w:i/>
      <w:iCs/>
      <w:color w:val="404040" w:themeColor="text1" w:themeTint="BF"/>
    </w:rPr>
  </w:style>
  <w:style w:type="character" w:customStyle="1" w:styleId="QuoteChar">
    <w:name w:val="Quote Char"/>
    <w:basedOn w:val="DefaultParagraphFont"/>
    <w:link w:val="Quote"/>
    <w:uiPriority w:val="29"/>
    <w:rsid w:val="00952D0B"/>
    <w:rPr>
      <w:i/>
      <w:iCs/>
      <w:color w:val="404040" w:themeColor="text1" w:themeTint="BF"/>
    </w:rPr>
  </w:style>
  <w:style w:type="paragraph" w:styleId="ListParagraph">
    <w:name w:val="List Paragraph"/>
    <w:basedOn w:val="Normal"/>
    <w:uiPriority w:val="34"/>
    <w:qFormat/>
    <w:rsid w:val="00952D0B"/>
    <w:pPr>
      <w:ind w:left="720"/>
      <w:contextualSpacing/>
    </w:pPr>
  </w:style>
  <w:style w:type="character" w:styleId="IntenseEmphasis">
    <w:name w:val="Intense Emphasis"/>
    <w:basedOn w:val="DefaultParagraphFont"/>
    <w:uiPriority w:val="21"/>
    <w:qFormat/>
    <w:rsid w:val="00952D0B"/>
    <w:rPr>
      <w:i/>
      <w:iCs/>
      <w:color w:val="2F5496" w:themeColor="accent1" w:themeShade="BF"/>
    </w:rPr>
  </w:style>
  <w:style w:type="paragraph" w:styleId="IntenseQuote">
    <w:name w:val="Intense Quote"/>
    <w:basedOn w:val="Normal"/>
    <w:next w:val="Normal"/>
    <w:link w:val="IntenseQuoteChar"/>
    <w:uiPriority w:val="30"/>
    <w:qFormat/>
    <w:rsid w:val="00952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D0B"/>
    <w:rPr>
      <w:i/>
      <w:iCs/>
      <w:color w:val="2F5496" w:themeColor="accent1" w:themeShade="BF"/>
    </w:rPr>
  </w:style>
  <w:style w:type="character" w:styleId="IntenseReference">
    <w:name w:val="Intense Reference"/>
    <w:basedOn w:val="DefaultParagraphFont"/>
    <w:uiPriority w:val="32"/>
    <w:qFormat/>
    <w:rsid w:val="00952D0B"/>
    <w:rPr>
      <w:b/>
      <w:bCs/>
      <w:smallCaps/>
      <w:color w:val="2F5496" w:themeColor="accent1" w:themeShade="BF"/>
      <w:spacing w:val="5"/>
    </w:rPr>
  </w:style>
  <w:style w:type="table" w:styleId="TableGrid">
    <w:name w:val="Table Grid"/>
    <w:basedOn w:val="TableNormal"/>
    <w:uiPriority w:val="39"/>
    <w:rsid w:val="00952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2FB6719-3CEC-4CCD-BE12-FA8D29DA227C}" type="doc">
      <dgm:prSet loTypeId="urn:microsoft.com/office/officeart/2005/8/layout/process2" loCatId="process" qsTypeId="urn:microsoft.com/office/officeart/2005/8/quickstyle/simple1" qsCatId="simple" csTypeId="urn:microsoft.com/office/officeart/2005/8/colors/colorful2" csCatId="colorful" phldr="1"/>
      <dgm:spPr/>
      <dgm:t>
        <a:bodyPr/>
        <a:lstStyle/>
        <a:p>
          <a:endParaRPr lang="en-IN"/>
        </a:p>
      </dgm:t>
    </dgm:pt>
    <dgm:pt modelId="{D0A12ECD-35EE-442C-9879-E86872BAD17A}">
      <dgm:prSet phldrT="[Text]"/>
      <dgm:spPr/>
      <dgm:t>
        <a:bodyPr/>
        <a:lstStyle/>
        <a:p>
          <a:pPr>
            <a:buNone/>
          </a:pPr>
          <a:r>
            <a:rPr lang="en-IN"/>
            <a:t>Cleaned Dataset</a:t>
          </a:r>
        </a:p>
      </dgm:t>
    </dgm:pt>
    <dgm:pt modelId="{93FA078E-3634-47B3-A87D-2B9CF9006F42}" type="parTrans" cxnId="{E99E6388-DC14-403F-821B-04B0219BC933}">
      <dgm:prSet/>
      <dgm:spPr/>
      <dgm:t>
        <a:bodyPr/>
        <a:lstStyle/>
        <a:p>
          <a:endParaRPr lang="en-IN"/>
        </a:p>
      </dgm:t>
    </dgm:pt>
    <dgm:pt modelId="{B1B5DAA1-0BA2-4D95-AF40-3C2A48B37B38}" type="sibTrans" cxnId="{E99E6388-DC14-403F-821B-04B0219BC933}">
      <dgm:prSet/>
      <dgm:spPr/>
      <dgm:t>
        <a:bodyPr/>
        <a:lstStyle/>
        <a:p>
          <a:endParaRPr lang="en-IN"/>
        </a:p>
      </dgm:t>
    </dgm:pt>
    <dgm:pt modelId="{F43BD489-81AE-47A7-AF00-46E34FA1E973}">
      <dgm:prSet phldrT="[Text]"/>
      <dgm:spPr/>
      <dgm:t>
        <a:bodyPr/>
        <a:lstStyle/>
        <a:p>
          <a:pPr>
            <a:buNone/>
          </a:pPr>
          <a:r>
            <a:rPr lang="en-IN"/>
            <a:t>Data Validation</a:t>
          </a:r>
        </a:p>
      </dgm:t>
    </dgm:pt>
    <dgm:pt modelId="{B30C3E46-96E1-49DF-A3D1-EA8E397623A5}" type="parTrans" cxnId="{959C730B-3138-4D6F-8493-3FECA85B0D56}">
      <dgm:prSet/>
      <dgm:spPr/>
      <dgm:t>
        <a:bodyPr/>
        <a:lstStyle/>
        <a:p>
          <a:endParaRPr lang="en-IN"/>
        </a:p>
      </dgm:t>
    </dgm:pt>
    <dgm:pt modelId="{04FF8346-A583-4221-85D1-F26AC5DC17EF}" type="sibTrans" cxnId="{959C730B-3138-4D6F-8493-3FECA85B0D56}">
      <dgm:prSet/>
      <dgm:spPr/>
      <dgm:t>
        <a:bodyPr/>
        <a:lstStyle/>
        <a:p>
          <a:endParaRPr lang="en-IN"/>
        </a:p>
      </dgm:t>
    </dgm:pt>
    <dgm:pt modelId="{F4792EB0-03AF-4739-9274-402D1DC62227}">
      <dgm:prSet phldrT="[Text]"/>
      <dgm:spPr/>
      <dgm:t>
        <a:bodyPr/>
        <a:lstStyle/>
        <a:p>
          <a:pPr>
            <a:buNone/>
          </a:pPr>
          <a:r>
            <a:rPr lang="en-IN"/>
            <a:t>Exploratory Analysis</a:t>
          </a:r>
        </a:p>
      </dgm:t>
    </dgm:pt>
    <dgm:pt modelId="{C3968E56-AF3B-450D-B386-48718374D544}" type="parTrans" cxnId="{F1C9A2DF-1477-424E-8316-794E2A6A5D4B}">
      <dgm:prSet/>
      <dgm:spPr/>
      <dgm:t>
        <a:bodyPr/>
        <a:lstStyle/>
        <a:p>
          <a:endParaRPr lang="en-IN"/>
        </a:p>
      </dgm:t>
    </dgm:pt>
    <dgm:pt modelId="{12F8DA65-6095-4023-A376-DF9E736ADD3E}" type="sibTrans" cxnId="{F1C9A2DF-1477-424E-8316-794E2A6A5D4B}">
      <dgm:prSet/>
      <dgm:spPr/>
      <dgm:t>
        <a:bodyPr/>
        <a:lstStyle/>
        <a:p>
          <a:endParaRPr lang="en-IN"/>
        </a:p>
      </dgm:t>
    </dgm:pt>
    <dgm:pt modelId="{35C383D3-1F7D-4114-84B3-7D18077BDBBA}">
      <dgm:prSet phldrT="[Text]"/>
      <dgm:spPr/>
      <dgm:t>
        <a:bodyPr/>
        <a:lstStyle/>
        <a:p>
          <a:pPr>
            <a:buNone/>
          </a:pPr>
          <a:r>
            <a:rPr lang="en-IN"/>
            <a:t>Statistical Analysis</a:t>
          </a:r>
        </a:p>
      </dgm:t>
    </dgm:pt>
    <dgm:pt modelId="{16DDDF58-FDBB-4CE8-ADA5-1427582E6B9F}" type="parTrans" cxnId="{93863A27-070E-42A5-B5E2-CCE235104788}">
      <dgm:prSet/>
      <dgm:spPr/>
      <dgm:t>
        <a:bodyPr/>
        <a:lstStyle/>
        <a:p>
          <a:endParaRPr lang="en-IN"/>
        </a:p>
      </dgm:t>
    </dgm:pt>
    <dgm:pt modelId="{8F85E0CF-2192-472F-A02D-BD46F18B781F}" type="sibTrans" cxnId="{93863A27-070E-42A5-B5E2-CCE235104788}">
      <dgm:prSet/>
      <dgm:spPr/>
      <dgm:t>
        <a:bodyPr/>
        <a:lstStyle/>
        <a:p>
          <a:endParaRPr lang="en-IN"/>
        </a:p>
      </dgm:t>
    </dgm:pt>
    <dgm:pt modelId="{1005B359-856F-449A-A906-D6BABD4F6380}">
      <dgm:prSet phldrT="[Text]"/>
      <dgm:spPr/>
      <dgm:t>
        <a:bodyPr/>
        <a:lstStyle/>
        <a:p>
          <a:pPr>
            <a:buNone/>
          </a:pPr>
          <a:r>
            <a:rPr lang="en-IN"/>
            <a:t>Predictive Modeling</a:t>
          </a:r>
        </a:p>
      </dgm:t>
    </dgm:pt>
    <dgm:pt modelId="{A24C3C4F-DB38-44ED-B900-581D5123CD4F}" type="parTrans" cxnId="{5BB70E8A-B929-43E6-8FC8-B2EABE06F14D}">
      <dgm:prSet/>
      <dgm:spPr/>
      <dgm:t>
        <a:bodyPr/>
        <a:lstStyle/>
        <a:p>
          <a:endParaRPr lang="en-IN"/>
        </a:p>
      </dgm:t>
    </dgm:pt>
    <dgm:pt modelId="{A07A4979-E21B-4B40-BBA8-FD999202040C}" type="sibTrans" cxnId="{5BB70E8A-B929-43E6-8FC8-B2EABE06F14D}">
      <dgm:prSet/>
      <dgm:spPr/>
      <dgm:t>
        <a:bodyPr/>
        <a:lstStyle/>
        <a:p>
          <a:endParaRPr lang="en-IN"/>
        </a:p>
      </dgm:t>
    </dgm:pt>
    <dgm:pt modelId="{C2F0BC6A-6792-4877-A0F7-F82249F5E5D2}">
      <dgm:prSet phldrT="[Text]"/>
      <dgm:spPr/>
      <dgm:t>
        <a:bodyPr/>
        <a:lstStyle/>
        <a:p>
          <a:pPr>
            <a:buNone/>
          </a:pPr>
          <a:r>
            <a:rPr lang="en-IN"/>
            <a:t>Model Evaluation</a:t>
          </a:r>
        </a:p>
      </dgm:t>
    </dgm:pt>
    <dgm:pt modelId="{EEAF7639-7402-4418-A4A2-221BD11E4907}" type="parTrans" cxnId="{3A5E592C-BB20-4225-8DA7-A24ABA088CC4}">
      <dgm:prSet/>
      <dgm:spPr/>
      <dgm:t>
        <a:bodyPr/>
        <a:lstStyle/>
        <a:p>
          <a:endParaRPr lang="en-IN"/>
        </a:p>
      </dgm:t>
    </dgm:pt>
    <dgm:pt modelId="{9E479E30-A36E-4567-AE68-484377076D95}" type="sibTrans" cxnId="{3A5E592C-BB20-4225-8DA7-A24ABA088CC4}">
      <dgm:prSet/>
      <dgm:spPr/>
      <dgm:t>
        <a:bodyPr/>
        <a:lstStyle/>
        <a:p>
          <a:endParaRPr lang="en-IN"/>
        </a:p>
      </dgm:t>
    </dgm:pt>
    <dgm:pt modelId="{949E9C3A-F76D-443A-8A9F-37AFACCA53D4}">
      <dgm:prSet phldrT="[Text]"/>
      <dgm:spPr/>
      <dgm:t>
        <a:bodyPr/>
        <a:lstStyle/>
        <a:p>
          <a:pPr>
            <a:buNone/>
          </a:pPr>
          <a:r>
            <a:rPr lang="en-IN"/>
            <a:t>Visualization</a:t>
          </a:r>
        </a:p>
      </dgm:t>
    </dgm:pt>
    <dgm:pt modelId="{6303EE21-B169-46DB-BF0C-8D0B07E0722F}" type="parTrans" cxnId="{3B4921A3-6E88-472D-AA6A-3E51D522CBAD}">
      <dgm:prSet/>
      <dgm:spPr/>
      <dgm:t>
        <a:bodyPr/>
        <a:lstStyle/>
        <a:p>
          <a:endParaRPr lang="en-IN"/>
        </a:p>
      </dgm:t>
    </dgm:pt>
    <dgm:pt modelId="{B74A8063-DF29-4F9F-B2E4-349E4B976D5D}" type="sibTrans" cxnId="{3B4921A3-6E88-472D-AA6A-3E51D522CBAD}">
      <dgm:prSet/>
      <dgm:spPr/>
      <dgm:t>
        <a:bodyPr/>
        <a:lstStyle/>
        <a:p>
          <a:endParaRPr lang="en-IN"/>
        </a:p>
      </dgm:t>
    </dgm:pt>
    <dgm:pt modelId="{1BA3B173-3F0B-4FC1-ACFF-6C401C73BF3E}">
      <dgm:prSet phldrT="[Text]"/>
      <dgm:spPr/>
      <dgm:t>
        <a:bodyPr/>
        <a:lstStyle/>
        <a:p>
          <a:pPr>
            <a:buNone/>
          </a:pPr>
          <a:r>
            <a:rPr lang="en-IN"/>
            <a:t>Evidence-Based Recommendations</a:t>
          </a:r>
        </a:p>
      </dgm:t>
    </dgm:pt>
    <dgm:pt modelId="{E98B869F-1A88-4B42-96E1-3C7E49122793}" type="parTrans" cxnId="{54B43FC7-BF0A-4ADF-8CFE-641ADED6CE0A}">
      <dgm:prSet/>
      <dgm:spPr/>
      <dgm:t>
        <a:bodyPr/>
        <a:lstStyle/>
        <a:p>
          <a:endParaRPr lang="en-IN"/>
        </a:p>
      </dgm:t>
    </dgm:pt>
    <dgm:pt modelId="{1FDEEAF5-3B8C-41F1-A78D-9BD7E5A2290C}" type="sibTrans" cxnId="{54B43FC7-BF0A-4ADF-8CFE-641ADED6CE0A}">
      <dgm:prSet/>
      <dgm:spPr/>
      <dgm:t>
        <a:bodyPr/>
        <a:lstStyle/>
        <a:p>
          <a:endParaRPr lang="en-IN"/>
        </a:p>
      </dgm:t>
    </dgm:pt>
    <dgm:pt modelId="{D7387E9A-0583-48CD-96B6-1784BABFBB9E}">
      <dgm:prSet phldrT="[Text]"/>
      <dgm:spPr/>
      <dgm:t>
        <a:bodyPr/>
        <a:lstStyle/>
        <a:p>
          <a:pPr>
            <a:buNone/>
          </a:pPr>
          <a:r>
            <a:rPr lang="en-IN"/>
            <a:t>Insight Interpretation</a:t>
          </a:r>
        </a:p>
      </dgm:t>
    </dgm:pt>
    <dgm:pt modelId="{7DFE5E7B-3A59-4801-AC19-0BC2C7A58FC8}" type="parTrans" cxnId="{22F0B3B7-9488-44B7-ACC6-D81A6194D05A}">
      <dgm:prSet/>
      <dgm:spPr/>
      <dgm:t>
        <a:bodyPr/>
        <a:lstStyle/>
        <a:p>
          <a:endParaRPr lang="en-IN"/>
        </a:p>
      </dgm:t>
    </dgm:pt>
    <dgm:pt modelId="{A932A844-D8C9-4914-9A46-7DF2CF15C0A3}" type="sibTrans" cxnId="{22F0B3B7-9488-44B7-ACC6-D81A6194D05A}">
      <dgm:prSet/>
      <dgm:spPr/>
      <dgm:t>
        <a:bodyPr/>
        <a:lstStyle/>
        <a:p>
          <a:endParaRPr lang="en-IN"/>
        </a:p>
      </dgm:t>
    </dgm:pt>
    <dgm:pt modelId="{C0BA3638-5B76-4BA4-91D8-8CF65C002213}" type="pres">
      <dgm:prSet presAssocID="{72FB6719-3CEC-4CCD-BE12-FA8D29DA227C}" presName="linearFlow" presStyleCnt="0">
        <dgm:presLayoutVars>
          <dgm:resizeHandles val="exact"/>
        </dgm:presLayoutVars>
      </dgm:prSet>
      <dgm:spPr/>
    </dgm:pt>
    <dgm:pt modelId="{C868E2C3-BB2F-4BBF-9FDE-B4ED8C4E16A7}" type="pres">
      <dgm:prSet presAssocID="{D0A12ECD-35EE-442C-9879-E86872BAD17A}" presName="node" presStyleLbl="node1" presStyleIdx="0" presStyleCnt="9">
        <dgm:presLayoutVars>
          <dgm:bulletEnabled val="1"/>
        </dgm:presLayoutVars>
      </dgm:prSet>
      <dgm:spPr/>
    </dgm:pt>
    <dgm:pt modelId="{BF7B856F-8925-47AF-85BE-96168E956D6F}" type="pres">
      <dgm:prSet presAssocID="{B1B5DAA1-0BA2-4D95-AF40-3C2A48B37B38}" presName="sibTrans" presStyleLbl="sibTrans2D1" presStyleIdx="0" presStyleCnt="8"/>
      <dgm:spPr/>
    </dgm:pt>
    <dgm:pt modelId="{A08200B5-91E3-4BAD-B7F0-BF9BB65B0BDB}" type="pres">
      <dgm:prSet presAssocID="{B1B5DAA1-0BA2-4D95-AF40-3C2A48B37B38}" presName="connectorText" presStyleLbl="sibTrans2D1" presStyleIdx="0" presStyleCnt="8"/>
      <dgm:spPr/>
    </dgm:pt>
    <dgm:pt modelId="{A6FFA0B5-A7CA-45F9-B467-0C9772E75667}" type="pres">
      <dgm:prSet presAssocID="{F43BD489-81AE-47A7-AF00-46E34FA1E973}" presName="node" presStyleLbl="node1" presStyleIdx="1" presStyleCnt="9">
        <dgm:presLayoutVars>
          <dgm:bulletEnabled val="1"/>
        </dgm:presLayoutVars>
      </dgm:prSet>
      <dgm:spPr/>
    </dgm:pt>
    <dgm:pt modelId="{634EC487-0E69-4F23-B1BC-BF7EB877FAF2}" type="pres">
      <dgm:prSet presAssocID="{04FF8346-A583-4221-85D1-F26AC5DC17EF}" presName="sibTrans" presStyleLbl="sibTrans2D1" presStyleIdx="1" presStyleCnt="8"/>
      <dgm:spPr/>
    </dgm:pt>
    <dgm:pt modelId="{CDA55563-BB48-454E-9D66-2A0AD3DD1860}" type="pres">
      <dgm:prSet presAssocID="{04FF8346-A583-4221-85D1-F26AC5DC17EF}" presName="connectorText" presStyleLbl="sibTrans2D1" presStyleIdx="1" presStyleCnt="8"/>
      <dgm:spPr/>
    </dgm:pt>
    <dgm:pt modelId="{19E292E4-C674-4305-A229-8F1D107723B9}" type="pres">
      <dgm:prSet presAssocID="{F4792EB0-03AF-4739-9274-402D1DC62227}" presName="node" presStyleLbl="node1" presStyleIdx="2" presStyleCnt="9">
        <dgm:presLayoutVars>
          <dgm:bulletEnabled val="1"/>
        </dgm:presLayoutVars>
      </dgm:prSet>
      <dgm:spPr/>
    </dgm:pt>
    <dgm:pt modelId="{C622DA37-519C-4458-A3EE-462E7C2E5202}" type="pres">
      <dgm:prSet presAssocID="{12F8DA65-6095-4023-A376-DF9E736ADD3E}" presName="sibTrans" presStyleLbl="sibTrans2D1" presStyleIdx="2" presStyleCnt="8"/>
      <dgm:spPr/>
    </dgm:pt>
    <dgm:pt modelId="{ACF5CC68-2E4B-47FE-8C64-1CD29E72D67F}" type="pres">
      <dgm:prSet presAssocID="{12F8DA65-6095-4023-A376-DF9E736ADD3E}" presName="connectorText" presStyleLbl="sibTrans2D1" presStyleIdx="2" presStyleCnt="8"/>
      <dgm:spPr/>
    </dgm:pt>
    <dgm:pt modelId="{0ADBD915-580F-4EB1-A27E-7CE12FB92430}" type="pres">
      <dgm:prSet presAssocID="{35C383D3-1F7D-4114-84B3-7D18077BDBBA}" presName="node" presStyleLbl="node1" presStyleIdx="3" presStyleCnt="9">
        <dgm:presLayoutVars>
          <dgm:bulletEnabled val="1"/>
        </dgm:presLayoutVars>
      </dgm:prSet>
      <dgm:spPr/>
    </dgm:pt>
    <dgm:pt modelId="{2E315F3F-8377-40CF-A415-8CEB54B89A98}" type="pres">
      <dgm:prSet presAssocID="{8F85E0CF-2192-472F-A02D-BD46F18B781F}" presName="sibTrans" presStyleLbl="sibTrans2D1" presStyleIdx="3" presStyleCnt="8"/>
      <dgm:spPr/>
    </dgm:pt>
    <dgm:pt modelId="{903B716D-E2EC-489D-B320-5BC868BA0BA0}" type="pres">
      <dgm:prSet presAssocID="{8F85E0CF-2192-472F-A02D-BD46F18B781F}" presName="connectorText" presStyleLbl="sibTrans2D1" presStyleIdx="3" presStyleCnt="8"/>
      <dgm:spPr/>
    </dgm:pt>
    <dgm:pt modelId="{22B2B8C8-6CD0-499F-8B2D-9DD14E384DDE}" type="pres">
      <dgm:prSet presAssocID="{1005B359-856F-449A-A906-D6BABD4F6380}" presName="node" presStyleLbl="node1" presStyleIdx="4" presStyleCnt="9">
        <dgm:presLayoutVars>
          <dgm:bulletEnabled val="1"/>
        </dgm:presLayoutVars>
      </dgm:prSet>
      <dgm:spPr/>
    </dgm:pt>
    <dgm:pt modelId="{4C0634F1-04FC-44A1-96E9-A46ACC1691A7}" type="pres">
      <dgm:prSet presAssocID="{A07A4979-E21B-4B40-BBA8-FD999202040C}" presName="sibTrans" presStyleLbl="sibTrans2D1" presStyleIdx="4" presStyleCnt="8"/>
      <dgm:spPr/>
    </dgm:pt>
    <dgm:pt modelId="{8316036F-EC7A-4328-859F-94A42E2D17CA}" type="pres">
      <dgm:prSet presAssocID="{A07A4979-E21B-4B40-BBA8-FD999202040C}" presName="connectorText" presStyleLbl="sibTrans2D1" presStyleIdx="4" presStyleCnt="8"/>
      <dgm:spPr/>
    </dgm:pt>
    <dgm:pt modelId="{0D8E89C5-2E39-40C9-A373-1592E040DB0B}" type="pres">
      <dgm:prSet presAssocID="{C2F0BC6A-6792-4877-A0F7-F82249F5E5D2}" presName="node" presStyleLbl="node1" presStyleIdx="5" presStyleCnt="9">
        <dgm:presLayoutVars>
          <dgm:bulletEnabled val="1"/>
        </dgm:presLayoutVars>
      </dgm:prSet>
      <dgm:spPr/>
    </dgm:pt>
    <dgm:pt modelId="{D5B7BC74-8AC0-444B-B9C4-51FF82C21215}" type="pres">
      <dgm:prSet presAssocID="{9E479E30-A36E-4567-AE68-484377076D95}" presName="sibTrans" presStyleLbl="sibTrans2D1" presStyleIdx="5" presStyleCnt="8"/>
      <dgm:spPr/>
    </dgm:pt>
    <dgm:pt modelId="{ED8E045C-725D-4E8A-BAF3-EDDC1C4E7349}" type="pres">
      <dgm:prSet presAssocID="{9E479E30-A36E-4567-AE68-484377076D95}" presName="connectorText" presStyleLbl="sibTrans2D1" presStyleIdx="5" presStyleCnt="8"/>
      <dgm:spPr/>
    </dgm:pt>
    <dgm:pt modelId="{32833C59-60CA-4CFA-B2DB-4337908EB65A}" type="pres">
      <dgm:prSet presAssocID="{949E9C3A-F76D-443A-8A9F-37AFACCA53D4}" presName="node" presStyleLbl="node1" presStyleIdx="6" presStyleCnt="9">
        <dgm:presLayoutVars>
          <dgm:bulletEnabled val="1"/>
        </dgm:presLayoutVars>
      </dgm:prSet>
      <dgm:spPr/>
    </dgm:pt>
    <dgm:pt modelId="{73CDC58C-3ED4-4965-AFBB-67D41D32CB38}" type="pres">
      <dgm:prSet presAssocID="{B74A8063-DF29-4F9F-B2E4-349E4B976D5D}" presName="sibTrans" presStyleLbl="sibTrans2D1" presStyleIdx="6" presStyleCnt="8"/>
      <dgm:spPr/>
    </dgm:pt>
    <dgm:pt modelId="{584C1DFC-4FB6-4A7C-8EFE-5366DB623090}" type="pres">
      <dgm:prSet presAssocID="{B74A8063-DF29-4F9F-B2E4-349E4B976D5D}" presName="connectorText" presStyleLbl="sibTrans2D1" presStyleIdx="6" presStyleCnt="8"/>
      <dgm:spPr/>
    </dgm:pt>
    <dgm:pt modelId="{A5272135-DCF6-4980-ACE5-71AA26EC5CE8}" type="pres">
      <dgm:prSet presAssocID="{D7387E9A-0583-48CD-96B6-1784BABFBB9E}" presName="node" presStyleLbl="node1" presStyleIdx="7" presStyleCnt="9">
        <dgm:presLayoutVars>
          <dgm:bulletEnabled val="1"/>
        </dgm:presLayoutVars>
      </dgm:prSet>
      <dgm:spPr/>
    </dgm:pt>
    <dgm:pt modelId="{908C7879-5A1D-42BB-B18B-8006A7913C60}" type="pres">
      <dgm:prSet presAssocID="{A932A844-D8C9-4914-9A46-7DF2CF15C0A3}" presName="sibTrans" presStyleLbl="sibTrans2D1" presStyleIdx="7" presStyleCnt="8"/>
      <dgm:spPr/>
    </dgm:pt>
    <dgm:pt modelId="{82FE338E-F9D8-4979-9CDF-81D89CCED5B9}" type="pres">
      <dgm:prSet presAssocID="{A932A844-D8C9-4914-9A46-7DF2CF15C0A3}" presName="connectorText" presStyleLbl="sibTrans2D1" presStyleIdx="7" presStyleCnt="8"/>
      <dgm:spPr/>
    </dgm:pt>
    <dgm:pt modelId="{6BD8DD2A-DE11-404A-8DFB-775C2B740575}" type="pres">
      <dgm:prSet presAssocID="{1BA3B173-3F0B-4FC1-ACFF-6C401C73BF3E}" presName="node" presStyleLbl="node1" presStyleIdx="8" presStyleCnt="9">
        <dgm:presLayoutVars>
          <dgm:bulletEnabled val="1"/>
        </dgm:presLayoutVars>
      </dgm:prSet>
      <dgm:spPr/>
    </dgm:pt>
  </dgm:ptLst>
  <dgm:cxnLst>
    <dgm:cxn modelId="{203F0104-ADDA-4FE4-B7A1-E8256CDBD772}" type="presOf" srcId="{A932A844-D8C9-4914-9A46-7DF2CF15C0A3}" destId="{82FE338E-F9D8-4979-9CDF-81D89CCED5B9}" srcOrd="1" destOrd="0" presId="urn:microsoft.com/office/officeart/2005/8/layout/process2"/>
    <dgm:cxn modelId="{D1C91606-71DA-4357-A3CD-AACA03042079}" type="presOf" srcId="{12F8DA65-6095-4023-A376-DF9E736ADD3E}" destId="{ACF5CC68-2E4B-47FE-8C64-1CD29E72D67F}" srcOrd="1" destOrd="0" presId="urn:microsoft.com/office/officeart/2005/8/layout/process2"/>
    <dgm:cxn modelId="{959C730B-3138-4D6F-8493-3FECA85B0D56}" srcId="{72FB6719-3CEC-4CCD-BE12-FA8D29DA227C}" destId="{F43BD489-81AE-47A7-AF00-46E34FA1E973}" srcOrd="1" destOrd="0" parTransId="{B30C3E46-96E1-49DF-A3D1-EA8E397623A5}" sibTransId="{04FF8346-A583-4221-85D1-F26AC5DC17EF}"/>
    <dgm:cxn modelId="{6833220C-A0C7-4C93-852C-06E5C90E3B80}" type="presOf" srcId="{1005B359-856F-449A-A906-D6BABD4F6380}" destId="{22B2B8C8-6CD0-499F-8B2D-9DD14E384DDE}" srcOrd="0" destOrd="0" presId="urn:microsoft.com/office/officeart/2005/8/layout/process2"/>
    <dgm:cxn modelId="{8D165917-76FB-44ED-B999-6AD3C47E2298}" type="presOf" srcId="{9E479E30-A36E-4567-AE68-484377076D95}" destId="{ED8E045C-725D-4E8A-BAF3-EDDC1C4E7349}" srcOrd="1" destOrd="0" presId="urn:microsoft.com/office/officeart/2005/8/layout/process2"/>
    <dgm:cxn modelId="{DC221E19-5830-49A0-8EE2-48EED25C22ED}" type="presOf" srcId="{8F85E0CF-2192-472F-A02D-BD46F18B781F}" destId="{2E315F3F-8377-40CF-A415-8CEB54B89A98}" srcOrd="0" destOrd="0" presId="urn:microsoft.com/office/officeart/2005/8/layout/process2"/>
    <dgm:cxn modelId="{8BDB8E21-C345-4EFF-A0D8-4DCBA1396EB5}" type="presOf" srcId="{949E9C3A-F76D-443A-8A9F-37AFACCA53D4}" destId="{32833C59-60CA-4CFA-B2DB-4337908EB65A}" srcOrd="0" destOrd="0" presId="urn:microsoft.com/office/officeart/2005/8/layout/process2"/>
    <dgm:cxn modelId="{C12A9426-FDAC-4BDB-9F6C-2D745A860B63}" type="presOf" srcId="{C2F0BC6A-6792-4877-A0F7-F82249F5E5D2}" destId="{0D8E89C5-2E39-40C9-A373-1592E040DB0B}" srcOrd="0" destOrd="0" presId="urn:microsoft.com/office/officeart/2005/8/layout/process2"/>
    <dgm:cxn modelId="{93863A27-070E-42A5-B5E2-CCE235104788}" srcId="{72FB6719-3CEC-4CCD-BE12-FA8D29DA227C}" destId="{35C383D3-1F7D-4114-84B3-7D18077BDBBA}" srcOrd="3" destOrd="0" parTransId="{16DDDF58-FDBB-4CE8-ADA5-1427582E6B9F}" sibTransId="{8F85E0CF-2192-472F-A02D-BD46F18B781F}"/>
    <dgm:cxn modelId="{3A5E592C-BB20-4225-8DA7-A24ABA088CC4}" srcId="{72FB6719-3CEC-4CCD-BE12-FA8D29DA227C}" destId="{C2F0BC6A-6792-4877-A0F7-F82249F5E5D2}" srcOrd="5" destOrd="0" parTransId="{EEAF7639-7402-4418-A4A2-221BD11E4907}" sibTransId="{9E479E30-A36E-4567-AE68-484377076D95}"/>
    <dgm:cxn modelId="{C7548D30-A312-451A-940B-6950FC175351}" type="presOf" srcId="{9E479E30-A36E-4567-AE68-484377076D95}" destId="{D5B7BC74-8AC0-444B-B9C4-51FF82C21215}" srcOrd="0" destOrd="0" presId="urn:microsoft.com/office/officeart/2005/8/layout/process2"/>
    <dgm:cxn modelId="{75AB015B-54C0-4259-8402-E781229831F5}" type="presOf" srcId="{B1B5DAA1-0BA2-4D95-AF40-3C2A48B37B38}" destId="{A08200B5-91E3-4BAD-B7F0-BF9BB65B0BDB}" srcOrd="1" destOrd="0" presId="urn:microsoft.com/office/officeart/2005/8/layout/process2"/>
    <dgm:cxn modelId="{85F25958-4629-4536-B190-6323C99D0B64}" type="presOf" srcId="{F43BD489-81AE-47A7-AF00-46E34FA1E973}" destId="{A6FFA0B5-A7CA-45F9-B467-0C9772E75667}" srcOrd="0" destOrd="0" presId="urn:microsoft.com/office/officeart/2005/8/layout/process2"/>
    <dgm:cxn modelId="{48ED0D59-F197-4699-AE2B-895A743AA5AC}" type="presOf" srcId="{B74A8063-DF29-4F9F-B2E4-349E4B976D5D}" destId="{73CDC58C-3ED4-4965-AFBB-67D41D32CB38}" srcOrd="0" destOrd="0" presId="urn:microsoft.com/office/officeart/2005/8/layout/process2"/>
    <dgm:cxn modelId="{E99E6388-DC14-403F-821B-04B0219BC933}" srcId="{72FB6719-3CEC-4CCD-BE12-FA8D29DA227C}" destId="{D0A12ECD-35EE-442C-9879-E86872BAD17A}" srcOrd="0" destOrd="0" parTransId="{93FA078E-3634-47B3-A87D-2B9CF9006F42}" sibTransId="{B1B5DAA1-0BA2-4D95-AF40-3C2A48B37B38}"/>
    <dgm:cxn modelId="{D8BB8589-52D4-4253-83CF-0E42327D2FF6}" type="presOf" srcId="{D7387E9A-0583-48CD-96B6-1784BABFBB9E}" destId="{A5272135-DCF6-4980-ACE5-71AA26EC5CE8}" srcOrd="0" destOrd="0" presId="urn:microsoft.com/office/officeart/2005/8/layout/process2"/>
    <dgm:cxn modelId="{5BB70E8A-B929-43E6-8FC8-B2EABE06F14D}" srcId="{72FB6719-3CEC-4CCD-BE12-FA8D29DA227C}" destId="{1005B359-856F-449A-A906-D6BABD4F6380}" srcOrd="4" destOrd="0" parTransId="{A24C3C4F-DB38-44ED-B900-581D5123CD4F}" sibTransId="{A07A4979-E21B-4B40-BBA8-FD999202040C}"/>
    <dgm:cxn modelId="{9F7F348F-6291-43B5-8E4D-B6FF63860133}" type="presOf" srcId="{8F85E0CF-2192-472F-A02D-BD46F18B781F}" destId="{903B716D-E2EC-489D-B320-5BC868BA0BA0}" srcOrd="1" destOrd="0" presId="urn:microsoft.com/office/officeart/2005/8/layout/process2"/>
    <dgm:cxn modelId="{5B5ABA9C-85DF-4F87-83AC-42C0715BA799}" type="presOf" srcId="{04FF8346-A583-4221-85D1-F26AC5DC17EF}" destId="{CDA55563-BB48-454E-9D66-2A0AD3DD1860}" srcOrd="1" destOrd="0" presId="urn:microsoft.com/office/officeart/2005/8/layout/process2"/>
    <dgm:cxn modelId="{1056669D-3487-41C1-9E9D-0A2827FD0D3D}" type="presOf" srcId="{B1B5DAA1-0BA2-4D95-AF40-3C2A48B37B38}" destId="{BF7B856F-8925-47AF-85BE-96168E956D6F}" srcOrd="0" destOrd="0" presId="urn:microsoft.com/office/officeart/2005/8/layout/process2"/>
    <dgm:cxn modelId="{951D5F9E-78B9-487D-9087-9E7D071E5813}" type="presOf" srcId="{D0A12ECD-35EE-442C-9879-E86872BAD17A}" destId="{C868E2C3-BB2F-4BBF-9FDE-B4ED8C4E16A7}" srcOrd="0" destOrd="0" presId="urn:microsoft.com/office/officeart/2005/8/layout/process2"/>
    <dgm:cxn modelId="{3B4921A3-6E88-472D-AA6A-3E51D522CBAD}" srcId="{72FB6719-3CEC-4CCD-BE12-FA8D29DA227C}" destId="{949E9C3A-F76D-443A-8A9F-37AFACCA53D4}" srcOrd="6" destOrd="0" parTransId="{6303EE21-B169-46DB-BF0C-8D0B07E0722F}" sibTransId="{B74A8063-DF29-4F9F-B2E4-349E4B976D5D}"/>
    <dgm:cxn modelId="{22F0B3B7-9488-44B7-ACC6-D81A6194D05A}" srcId="{72FB6719-3CEC-4CCD-BE12-FA8D29DA227C}" destId="{D7387E9A-0583-48CD-96B6-1784BABFBB9E}" srcOrd="7" destOrd="0" parTransId="{7DFE5E7B-3A59-4801-AC19-0BC2C7A58FC8}" sibTransId="{A932A844-D8C9-4914-9A46-7DF2CF15C0A3}"/>
    <dgm:cxn modelId="{902A82C4-0DFB-401F-9F44-8F4CA0E3B057}" type="presOf" srcId="{35C383D3-1F7D-4114-84B3-7D18077BDBBA}" destId="{0ADBD915-580F-4EB1-A27E-7CE12FB92430}" srcOrd="0" destOrd="0" presId="urn:microsoft.com/office/officeart/2005/8/layout/process2"/>
    <dgm:cxn modelId="{54B43FC7-BF0A-4ADF-8CFE-641ADED6CE0A}" srcId="{72FB6719-3CEC-4CCD-BE12-FA8D29DA227C}" destId="{1BA3B173-3F0B-4FC1-ACFF-6C401C73BF3E}" srcOrd="8" destOrd="0" parTransId="{E98B869F-1A88-4B42-96E1-3C7E49122793}" sibTransId="{1FDEEAF5-3B8C-41F1-A78D-9BD7E5A2290C}"/>
    <dgm:cxn modelId="{9DA77ED6-8349-4141-9EC4-2FCABA85C14D}" type="presOf" srcId="{A07A4979-E21B-4B40-BBA8-FD999202040C}" destId="{8316036F-EC7A-4328-859F-94A42E2D17CA}" srcOrd="1" destOrd="0" presId="urn:microsoft.com/office/officeart/2005/8/layout/process2"/>
    <dgm:cxn modelId="{E0AB42D7-4F9D-49F7-9F9A-738D8DAF115C}" type="presOf" srcId="{12F8DA65-6095-4023-A376-DF9E736ADD3E}" destId="{C622DA37-519C-4458-A3EE-462E7C2E5202}" srcOrd="0" destOrd="0" presId="urn:microsoft.com/office/officeart/2005/8/layout/process2"/>
    <dgm:cxn modelId="{DDD8DDD9-60C2-47ED-80C7-F349456A2824}" type="presOf" srcId="{F4792EB0-03AF-4739-9274-402D1DC62227}" destId="{19E292E4-C674-4305-A229-8F1D107723B9}" srcOrd="0" destOrd="0" presId="urn:microsoft.com/office/officeart/2005/8/layout/process2"/>
    <dgm:cxn modelId="{F1C9A2DF-1477-424E-8316-794E2A6A5D4B}" srcId="{72FB6719-3CEC-4CCD-BE12-FA8D29DA227C}" destId="{F4792EB0-03AF-4739-9274-402D1DC62227}" srcOrd="2" destOrd="0" parTransId="{C3968E56-AF3B-450D-B386-48718374D544}" sibTransId="{12F8DA65-6095-4023-A376-DF9E736ADD3E}"/>
    <dgm:cxn modelId="{149AC6E1-577D-43F8-BF8E-232B94361AF6}" type="presOf" srcId="{1BA3B173-3F0B-4FC1-ACFF-6C401C73BF3E}" destId="{6BD8DD2A-DE11-404A-8DFB-775C2B740575}" srcOrd="0" destOrd="0" presId="urn:microsoft.com/office/officeart/2005/8/layout/process2"/>
    <dgm:cxn modelId="{FE2F05E2-0E97-4AEC-93FA-ACBD6359B4D7}" type="presOf" srcId="{A07A4979-E21B-4B40-BBA8-FD999202040C}" destId="{4C0634F1-04FC-44A1-96E9-A46ACC1691A7}" srcOrd="0" destOrd="0" presId="urn:microsoft.com/office/officeart/2005/8/layout/process2"/>
    <dgm:cxn modelId="{81A48CE9-8245-40E4-8B4B-44EB2C5BB95C}" type="presOf" srcId="{04FF8346-A583-4221-85D1-F26AC5DC17EF}" destId="{634EC487-0E69-4F23-B1BC-BF7EB877FAF2}" srcOrd="0" destOrd="0" presId="urn:microsoft.com/office/officeart/2005/8/layout/process2"/>
    <dgm:cxn modelId="{F8CA22ED-C2FC-407B-B985-CB23A5747FC3}" type="presOf" srcId="{A932A844-D8C9-4914-9A46-7DF2CF15C0A3}" destId="{908C7879-5A1D-42BB-B18B-8006A7913C60}" srcOrd="0" destOrd="0" presId="urn:microsoft.com/office/officeart/2005/8/layout/process2"/>
    <dgm:cxn modelId="{832A90EF-9272-48EF-9458-465A200ED2C4}" type="presOf" srcId="{B74A8063-DF29-4F9F-B2E4-349E4B976D5D}" destId="{584C1DFC-4FB6-4A7C-8EFE-5366DB623090}" srcOrd="1" destOrd="0" presId="urn:microsoft.com/office/officeart/2005/8/layout/process2"/>
    <dgm:cxn modelId="{E9C155FC-C389-4AAB-A611-9D57CB178B6E}" type="presOf" srcId="{72FB6719-3CEC-4CCD-BE12-FA8D29DA227C}" destId="{C0BA3638-5B76-4BA4-91D8-8CF65C002213}" srcOrd="0" destOrd="0" presId="urn:microsoft.com/office/officeart/2005/8/layout/process2"/>
    <dgm:cxn modelId="{ED77202E-4A5D-4D85-8D90-2F14EF55A9A7}" type="presParOf" srcId="{C0BA3638-5B76-4BA4-91D8-8CF65C002213}" destId="{C868E2C3-BB2F-4BBF-9FDE-B4ED8C4E16A7}" srcOrd="0" destOrd="0" presId="urn:microsoft.com/office/officeart/2005/8/layout/process2"/>
    <dgm:cxn modelId="{8E876079-9DCF-42FB-91B5-7ED2BCDA59B4}" type="presParOf" srcId="{C0BA3638-5B76-4BA4-91D8-8CF65C002213}" destId="{BF7B856F-8925-47AF-85BE-96168E956D6F}" srcOrd="1" destOrd="0" presId="urn:microsoft.com/office/officeart/2005/8/layout/process2"/>
    <dgm:cxn modelId="{A4025A83-2476-4ED3-B55E-88F116522F3C}" type="presParOf" srcId="{BF7B856F-8925-47AF-85BE-96168E956D6F}" destId="{A08200B5-91E3-4BAD-B7F0-BF9BB65B0BDB}" srcOrd="0" destOrd="0" presId="urn:microsoft.com/office/officeart/2005/8/layout/process2"/>
    <dgm:cxn modelId="{6711A3EF-3806-4D97-ADE0-215D712837FF}" type="presParOf" srcId="{C0BA3638-5B76-4BA4-91D8-8CF65C002213}" destId="{A6FFA0B5-A7CA-45F9-B467-0C9772E75667}" srcOrd="2" destOrd="0" presId="urn:microsoft.com/office/officeart/2005/8/layout/process2"/>
    <dgm:cxn modelId="{B6A98261-9D3B-482C-A69D-208FF2FC2925}" type="presParOf" srcId="{C0BA3638-5B76-4BA4-91D8-8CF65C002213}" destId="{634EC487-0E69-4F23-B1BC-BF7EB877FAF2}" srcOrd="3" destOrd="0" presId="urn:microsoft.com/office/officeart/2005/8/layout/process2"/>
    <dgm:cxn modelId="{F94399EC-45EA-48E2-A56C-67293221DA15}" type="presParOf" srcId="{634EC487-0E69-4F23-B1BC-BF7EB877FAF2}" destId="{CDA55563-BB48-454E-9D66-2A0AD3DD1860}" srcOrd="0" destOrd="0" presId="urn:microsoft.com/office/officeart/2005/8/layout/process2"/>
    <dgm:cxn modelId="{93264A61-3460-4090-81E9-E07827C37D8F}" type="presParOf" srcId="{C0BA3638-5B76-4BA4-91D8-8CF65C002213}" destId="{19E292E4-C674-4305-A229-8F1D107723B9}" srcOrd="4" destOrd="0" presId="urn:microsoft.com/office/officeart/2005/8/layout/process2"/>
    <dgm:cxn modelId="{DE087A1F-4FDF-40E6-8076-FADF444435CB}" type="presParOf" srcId="{C0BA3638-5B76-4BA4-91D8-8CF65C002213}" destId="{C622DA37-519C-4458-A3EE-462E7C2E5202}" srcOrd="5" destOrd="0" presId="urn:microsoft.com/office/officeart/2005/8/layout/process2"/>
    <dgm:cxn modelId="{6106E6A5-979F-40A2-ABBE-A0EC8933F4A2}" type="presParOf" srcId="{C622DA37-519C-4458-A3EE-462E7C2E5202}" destId="{ACF5CC68-2E4B-47FE-8C64-1CD29E72D67F}" srcOrd="0" destOrd="0" presId="urn:microsoft.com/office/officeart/2005/8/layout/process2"/>
    <dgm:cxn modelId="{8B7B05BF-E463-4D66-9DA4-32E66B9FC090}" type="presParOf" srcId="{C0BA3638-5B76-4BA4-91D8-8CF65C002213}" destId="{0ADBD915-580F-4EB1-A27E-7CE12FB92430}" srcOrd="6" destOrd="0" presId="urn:microsoft.com/office/officeart/2005/8/layout/process2"/>
    <dgm:cxn modelId="{0E8E1560-B6E2-4B3A-8E90-64A4C52F1731}" type="presParOf" srcId="{C0BA3638-5B76-4BA4-91D8-8CF65C002213}" destId="{2E315F3F-8377-40CF-A415-8CEB54B89A98}" srcOrd="7" destOrd="0" presId="urn:microsoft.com/office/officeart/2005/8/layout/process2"/>
    <dgm:cxn modelId="{61DCDC98-A56D-4BC4-AB50-05AC3AF215D8}" type="presParOf" srcId="{2E315F3F-8377-40CF-A415-8CEB54B89A98}" destId="{903B716D-E2EC-489D-B320-5BC868BA0BA0}" srcOrd="0" destOrd="0" presId="urn:microsoft.com/office/officeart/2005/8/layout/process2"/>
    <dgm:cxn modelId="{F6EF6B12-35FF-413C-876C-4EE3CB125A1B}" type="presParOf" srcId="{C0BA3638-5B76-4BA4-91D8-8CF65C002213}" destId="{22B2B8C8-6CD0-499F-8B2D-9DD14E384DDE}" srcOrd="8" destOrd="0" presId="urn:microsoft.com/office/officeart/2005/8/layout/process2"/>
    <dgm:cxn modelId="{F948D02B-45B9-4307-ADA6-77D1ECE6EE97}" type="presParOf" srcId="{C0BA3638-5B76-4BA4-91D8-8CF65C002213}" destId="{4C0634F1-04FC-44A1-96E9-A46ACC1691A7}" srcOrd="9" destOrd="0" presId="urn:microsoft.com/office/officeart/2005/8/layout/process2"/>
    <dgm:cxn modelId="{ABAAE9FB-B6DD-40CE-B2B3-FB34B086AF42}" type="presParOf" srcId="{4C0634F1-04FC-44A1-96E9-A46ACC1691A7}" destId="{8316036F-EC7A-4328-859F-94A42E2D17CA}" srcOrd="0" destOrd="0" presId="urn:microsoft.com/office/officeart/2005/8/layout/process2"/>
    <dgm:cxn modelId="{3C284C07-03FE-4AA6-ABC6-CFAAC4962CAD}" type="presParOf" srcId="{C0BA3638-5B76-4BA4-91D8-8CF65C002213}" destId="{0D8E89C5-2E39-40C9-A373-1592E040DB0B}" srcOrd="10" destOrd="0" presId="urn:microsoft.com/office/officeart/2005/8/layout/process2"/>
    <dgm:cxn modelId="{688BF8D4-B4E3-4EA3-9206-627F9287C63B}" type="presParOf" srcId="{C0BA3638-5B76-4BA4-91D8-8CF65C002213}" destId="{D5B7BC74-8AC0-444B-B9C4-51FF82C21215}" srcOrd="11" destOrd="0" presId="urn:microsoft.com/office/officeart/2005/8/layout/process2"/>
    <dgm:cxn modelId="{E1A89BE1-6019-41D9-B3E4-4A2C3DD5B47E}" type="presParOf" srcId="{D5B7BC74-8AC0-444B-B9C4-51FF82C21215}" destId="{ED8E045C-725D-4E8A-BAF3-EDDC1C4E7349}" srcOrd="0" destOrd="0" presId="urn:microsoft.com/office/officeart/2005/8/layout/process2"/>
    <dgm:cxn modelId="{F0BAD01F-7CBA-49CB-953D-8F3C22FDC61A}" type="presParOf" srcId="{C0BA3638-5B76-4BA4-91D8-8CF65C002213}" destId="{32833C59-60CA-4CFA-B2DB-4337908EB65A}" srcOrd="12" destOrd="0" presId="urn:microsoft.com/office/officeart/2005/8/layout/process2"/>
    <dgm:cxn modelId="{DF73A16B-7BCF-4C15-8624-DEAAFB7BDA9B}" type="presParOf" srcId="{C0BA3638-5B76-4BA4-91D8-8CF65C002213}" destId="{73CDC58C-3ED4-4965-AFBB-67D41D32CB38}" srcOrd="13" destOrd="0" presId="urn:microsoft.com/office/officeart/2005/8/layout/process2"/>
    <dgm:cxn modelId="{485D4391-6D6D-43A0-9CB9-50DBD28E1BB0}" type="presParOf" srcId="{73CDC58C-3ED4-4965-AFBB-67D41D32CB38}" destId="{584C1DFC-4FB6-4A7C-8EFE-5366DB623090}" srcOrd="0" destOrd="0" presId="urn:microsoft.com/office/officeart/2005/8/layout/process2"/>
    <dgm:cxn modelId="{8933F65F-6E0A-44CB-8511-C61EFAFAF81B}" type="presParOf" srcId="{C0BA3638-5B76-4BA4-91D8-8CF65C002213}" destId="{A5272135-DCF6-4980-ACE5-71AA26EC5CE8}" srcOrd="14" destOrd="0" presId="urn:microsoft.com/office/officeart/2005/8/layout/process2"/>
    <dgm:cxn modelId="{DE7AB2B3-3C5B-488C-BCC9-2255FD146992}" type="presParOf" srcId="{C0BA3638-5B76-4BA4-91D8-8CF65C002213}" destId="{908C7879-5A1D-42BB-B18B-8006A7913C60}" srcOrd="15" destOrd="0" presId="urn:microsoft.com/office/officeart/2005/8/layout/process2"/>
    <dgm:cxn modelId="{706FA6AE-B814-46DF-87E4-15619AD89197}" type="presParOf" srcId="{908C7879-5A1D-42BB-B18B-8006A7913C60}" destId="{82FE338E-F9D8-4979-9CDF-81D89CCED5B9}" srcOrd="0" destOrd="0" presId="urn:microsoft.com/office/officeart/2005/8/layout/process2"/>
    <dgm:cxn modelId="{D9F8FA0A-CC49-4B90-83C2-077BE07218F0}" type="presParOf" srcId="{C0BA3638-5B76-4BA4-91D8-8CF65C002213}" destId="{6BD8DD2A-DE11-404A-8DFB-775C2B740575}" srcOrd="16"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68E2C3-BB2F-4BBF-9FDE-B4ED8C4E16A7}">
      <dsp:nvSpPr>
        <dsp:cNvPr id="0" name=""/>
        <dsp:cNvSpPr/>
      </dsp:nvSpPr>
      <dsp:spPr>
        <a:xfrm>
          <a:off x="2421789" y="390"/>
          <a:ext cx="642821" cy="2461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Cleaned Dataset</a:t>
          </a:r>
        </a:p>
      </dsp:txBody>
      <dsp:txXfrm>
        <a:off x="2428998" y="7599"/>
        <a:ext cx="628403" cy="231706"/>
      </dsp:txXfrm>
    </dsp:sp>
    <dsp:sp modelId="{BF7B856F-8925-47AF-85BE-96168E956D6F}">
      <dsp:nvSpPr>
        <dsp:cNvPr id="0" name=""/>
        <dsp:cNvSpPr/>
      </dsp:nvSpPr>
      <dsp:spPr>
        <a:xfrm rot="5400000">
          <a:off x="2697051" y="252668"/>
          <a:ext cx="92296" cy="110756"/>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61898"/>
        <a:ext cx="66454" cy="64607"/>
      </dsp:txXfrm>
    </dsp:sp>
    <dsp:sp modelId="{A6FFA0B5-A7CA-45F9-B467-0C9772E75667}">
      <dsp:nvSpPr>
        <dsp:cNvPr id="0" name=""/>
        <dsp:cNvSpPr/>
      </dsp:nvSpPr>
      <dsp:spPr>
        <a:xfrm>
          <a:off x="2421789" y="369577"/>
          <a:ext cx="642821" cy="246124"/>
        </a:xfrm>
        <a:prstGeom prst="roundRect">
          <a:avLst>
            <a:gd name="adj" fmla="val 10000"/>
          </a:avLst>
        </a:prstGeom>
        <a:solidFill>
          <a:schemeClr val="accent2">
            <a:hueOff val="-181920"/>
            <a:satOff val="-10491"/>
            <a:lumOff val="10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Data Validation</a:t>
          </a:r>
        </a:p>
      </dsp:txBody>
      <dsp:txXfrm>
        <a:off x="2428998" y="376786"/>
        <a:ext cx="628403" cy="231706"/>
      </dsp:txXfrm>
    </dsp:sp>
    <dsp:sp modelId="{634EC487-0E69-4F23-B1BC-BF7EB877FAF2}">
      <dsp:nvSpPr>
        <dsp:cNvPr id="0" name=""/>
        <dsp:cNvSpPr/>
      </dsp:nvSpPr>
      <dsp:spPr>
        <a:xfrm rot="5400000">
          <a:off x="2697051" y="621855"/>
          <a:ext cx="92296" cy="110756"/>
        </a:xfrm>
        <a:prstGeom prst="rightArrow">
          <a:avLst>
            <a:gd name="adj1" fmla="val 60000"/>
            <a:gd name="adj2" fmla="val 50000"/>
          </a:avLst>
        </a:prstGeom>
        <a:solidFill>
          <a:schemeClr val="accent2">
            <a:hueOff val="-207909"/>
            <a:satOff val="-11990"/>
            <a:lumOff val="123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631085"/>
        <a:ext cx="66454" cy="64607"/>
      </dsp:txXfrm>
    </dsp:sp>
    <dsp:sp modelId="{19E292E4-C674-4305-A229-8F1D107723B9}">
      <dsp:nvSpPr>
        <dsp:cNvPr id="0" name=""/>
        <dsp:cNvSpPr/>
      </dsp:nvSpPr>
      <dsp:spPr>
        <a:xfrm>
          <a:off x="2421789" y="738764"/>
          <a:ext cx="642821" cy="246124"/>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Exploratory Analysis</a:t>
          </a:r>
        </a:p>
      </dsp:txBody>
      <dsp:txXfrm>
        <a:off x="2428998" y="745973"/>
        <a:ext cx="628403" cy="231706"/>
      </dsp:txXfrm>
    </dsp:sp>
    <dsp:sp modelId="{C622DA37-519C-4458-A3EE-462E7C2E5202}">
      <dsp:nvSpPr>
        <dsp:cNvPr id="0" name=""/>
        <dsp:cNvSpPr/>
      </dsp:nvSpPr>
      <dsp:spPr>
        <a:xfrm rot="5400000">
          <a:off x="2697051" y="991041"/>
          <a:ext cx="92296" cy="110756"/>
        </a:xfrm>
        <a:prstGeom prst="rightArrow">
          <a:avLst>
            <a:gd name="adj1" fmla="val 60000"/>
            <a:gd name="adj2" fmla="val 50000"/>
          </a:avLst>
        </a:prstGeom>
        <a:solidFill>
          <a:schemeClr val="accent2">
            <a:hueOff val="-415818"/>
            <a:satOff val="-23979"/>
            <a:lumOff val="24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000271"/>
        <a:ext cx="66454" cy="64607"/>
      </dsp:txXfrm>
    </dsp:sp>
    <dsp:sp modelId="{0ADBD915-580F-4EB1-A27E-7CE12FB92430}">
      <dsp:nvSpPr>
        <dsp:cNvPr id="0" name=""/>
        <dsp:cNvSpPr/>
      </dsp:nvSpPr>
      <dsp:spPr>
        <a:xfrm>
          <a:off x="2421789" y="1107950"/>
          <a:ext cx="642821" cy="246124"/>
        </a:xfrm>
        <a:prstGeom prst="roundRect">
          <a:avLst>
            <a:gd name="adj" fmla="val 10000"/>
          </a:avLst>
        </a:prstGeom>
        <a:solidFill>
          <a:schemeClr val="accent2">
            <a:hueOff val="-545761"/>
            <a:satOff val="-31473"/>
            <a:lumOff val="32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Statistical Analysis</a:t>
          </a:r>
        </a:p>
      </dsp:txBody>
      <dsp:txXfrm>
        <a:off x="2428998" y="1115159"/>
        <a:ext cx="628403" cy="231706"/>
      </dsp:txXfrm>
    </dsp:sp>
    <dsp:sp modelId="{2E315F3F-8377-40CF-A415-8CEB54B89A98}">
      <dsp:nvSpPr>
        <dsp:cNvPr id="0" name=""/>
        <dsp:cNvSpPr/>
      </dsp:nvSpPr>
      <dsp:spPr>
        <a:xfrm rot="5400000">
          <a:off x="2697051" y="1360228"/>
          <a:ext cx="92296" cy="110756"/>
        </a:xfrm>
        <a:prstGeom prst="rightArrow">
          <a:avLst>
            <a:gd name="adj1" fmla="val 60000"/>
            <a:gd name="adj2" fmla="val 50000"/>
          </a:avLst>
        </a:prstGeom>
        <a:solidFill>
          <a:schemeClr val="accent2">
            <a:hueOff val="-623727"/>
            <a:satOff val="-35969"/>
            <a:lumOff val="369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369458"/>
        <a:ext cx="66454" cy="64607"/>
      </dsp:txXfrm>
    </dsp:sp>
    <dsp:sp modelId="{22B2B8C8-6CD0-499F-8B2D-9DD14E384DDE}">
      <dsp:nvSpPr>
        <dsp:cNvPr id="0" name=""/>
        <dsp:cNvSpPr/>
      </dsp:nvSpPr>
      <dsp:spPr>
        <a:xfrm>
          <a:off x="2421789" y="1477137"/>
          <a:ext cx="642821" cy="246124"/>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Predictive Modeling</a:t>
          </a:r>
        </a:p>
      </dsp:txBody>
      <dsp:txXfrm>
        <a:off x="2428998" y="1484346"/>
        <a:ext cx="628403" cy="231706"/>
      </dsp:txXfrm>
    </dsp:sp>
    <dsp:sp modelId="{4C0634F1-04FC-44A1-96E9-A46ACC1691A7}">
      <dsp:nvSpPr>
        <dsp:cNvPr id="0" name=""/>
        <dsp:cNvSpPr/>
      </dsp:nvSpPr>
      <dsp:spPr>
        <a:xfrm rot="5400000">
          <a:off x="2697051" y="1729415"/>
          <a:ext cx="92296" cy="110756"/>
        </a:xfrm>
        <a:prstGeom prst="rightArrow">
          <a:avLst>
            <a:gd name="adj1" fmla="val 60000"/>
            <a:gd name="adj2" fmla="val 50000"/>
          </a:avLst>
        </a:prstGeom>
        <a:solidFill>
          <a:schemeClr val="accent2">
            <a:hueOff val="-831636"/>
            <a:satOff val="-47959"/>
            <a:lumOff val="49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1738645"/>
        <a:ext cx="66454" cy="64607"/>
      </dsp:txXfrm>
    </dsp:sp>
    <dsp:sp modelId="{0D8E89C5-2E39-40C9-A373-1592E040DB0B}">
      <dsp:nvSpPr>
        <dsp:cNvPr id="0" name=""/>
        <dsp:cNvSpPr/>
      </dsp:nvSpPr>
      <dsp:spPr>
        <a:xfrm>
          <a:off x="2421789" y="1846324"/>
          <a:ext cx="642821" cy="246124"/>
        </a:xfrm>
        <a:prstGeom prst="roundRect">
          <a:avLst>
            <a:gd name="adj" fmla="val 10000"/>
          </a:avLst>
        </a:prstGeom>
        <a:solidFill>
          <a:schemeClr val="accent2">
            <a:hueOff val="-909602"/>
            <a:satOff val="-52455"/>
            <a:lumOff val="53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Model Evaluation</a:t>
          </a:r>
        </a:p>
      </dsp:txBody>
      <dsp:txXfrm>
        <a:off x="2428998" y="1853533"/>
        <a:ext cx="628403" cy="231706"/>
      </dsp:txXfrm>
    </dsp:sp>
    <dsp:sp modelId="{D5B7BC74-8AC0-444B-B9C4-51FF82C21215}">
      <dsp:nvSpPr>
        <dsp:cNvPr id="0" name=""/>
        <dsp:cNvSpPr/>
      </dsp:nvSpPr>
      <dsp:spPr>
        <a:xfrm rot="5400000">
          <a:off x="2697051" y="2098602"/>
          <a:ext cx="92296" cy="110756"/>
        </a:xfrm>
        <a:prstGeom prst="rightArrow">
          <a:avLst>
            <a:gd name="adj1" fmla="val 60000"/>
            <a:gd name="adj2" fmla="val 50000"/>
          </a:avLst>
        </a:prstGeom>
        <a:solidFill>
          <a:schemeClr val="accent2">
            <a:hueOff val="-1039545"/>
            <a:satOff val="-59949"/>
            <a:lumOff val="616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107832"/>
        <a:ext cx="66454" cy="64607"/>
      </dsp:txXfrm>
    </dsp:sp>
    <dsp:sp modelId="{32833C59-60CA-4CFA-B2DB-4337908EB65A}">
      <dsp:nvSpPr>
        <dsp:cNvPr id="0" name=""/>
        <dsp:cNvSpPr/>
      </dsp:nvSpPr>
      <dsp:spPr>
        <a:xfrm>
          <a:off x="2421789" y="2215511"/>
          <a:ext cx="642821" cy="246124"/>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Visualization</a:t>
          </a:r>
        </a:p>
      </dsp:txBody>
      <dsp:txXfrm>
        <a:off x="2428998" y="2222720"/>
        <a:ext cx="628403" cy="231706"/>
      </dsp:txXfrm>
    </dsp:sp>
    <dsp:sp modelId="{73CDC58C-3ED4-4965-AFBB-67D41D32CB38}">
      <dsp:nvSpPr>
        <dsp:cNvPr id="0" name=""/>
        <dsp:cNvSpPr/>
      </dsp:nvSpPr>
      <dsp:spPr>
        <a:xfrm rot="5400000">
          <a:off x="2697051" y="2467788"/>
          <a:ext cx="92296" cy="110756"/>
        </a:xfrm>
        <a:prstGeom prst="rightArrow">
          <a:avLst>
            <a:gd name="adj1" fmla="val 60000"/>
            <a:gd name="adj2" fmla="val 50000"/>
          </a:avLst>
        </a:prstGeom>
        <a:solidFill>
          <a:schemeClr val="accent2">
            <a:hueOff val="-1247454"/>
            <a:satOff val="-71938"/>
            <a:lumOff val="739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477018"/>
        <a:ext cx="66454" cy="64607"/>
      </dsp:txXfrm>
    </dsp:sp>
    <dsp:sp modelId="{A5272135-DCF6-4980-ACE5-71AA26EC5CE8}">
      <dsp:nvSpPr>
        <dsp:cNvPr id="0" name=""/>
        <dsp:cNvSpPr/>
      </dsp:nvSpPr>
      <dsp:spPr>
        <a:xfrm>
          <a:off x="2421789" y="2584698"/>
          <a:ext cx="642821" cy="246124"/>
        </a:xfrm>
        <a:prstGeom prst="roundRect">
          <a:avLst>
            <a:gd name="adj" fmla="val 10000"/>
          </a:avLst>
        </a:prstGeom>
        <a:solidFill>
          <a:schemeClr val="accent2">
            <a:hueOff val="-1273443"/>
            <a:satOff val="-73437"/>
            <a:lumOff val="754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Insight Interpretation</a:t>
          </a:r>
        </a:p>
      </dsp:txBody>
      <dsp:txXfrm>
        <a:off x="2428998" y="2591907"/>
        <a:ext cx="628403" cy="231706"/>
      </dsp:txXfrm>
    </dsp:sp>
    <dsp:sp modelId="{908C7879-5A1D-42BB-B18B-8006A7913C60}">
      <dsp:nvSpPr>
        <dsp:cNvPr id="0" name=""/>
        <dsp:cNvSpPr/>
      </dsp:nvSpPr>
      <dsp:spPr>
        <a:xfrm rot="5400000">
          <a:off x="2697051" y="2836975"/>
          <a:ext cx="92296" cy="110756"/>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709973" y="2846205"/>
        <a:ext cx="66454" cy="64607"/>
      </dsp:txXfrm>
    </dsp:sp>
    <dsp:sp modelId="{6BD8DD2A-DE11-404A-8DFB-775C2B740575}">
      <dsp:nvSpPr>
        <dsp:cNvPr id="0" name=""/>
        <dsp:cNvSpPr/>
      </dsp:nvSpPr>
      <dsp:spPr>
        <a:xfrm>
          <a:off x="2421789" y="2953884"/>
          <a:ext cx="642821" cy="246124"/>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Evidence-Based Recommendations</a:t>
          </a:r>
        </a:p>
      </dsp:txBody>
      <dsp:txXfrm>
        <a:off x="2428998" y="2961093"/>
        <a:ext cx="628403" cy="23170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2857</Words>
  <Characters>16285</Characters>
  <Application>Microsoft Office Word</Application>
  <DocSecurity>0</DocSecurity>
  <Lines>135</Lines>
  <Paragraphs>38</Paragraphs>
  <ScaleCrop>false</ScaleCrop>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2026-08-24T17:10:00Z</dcterms:created>
  <dcterms:modified xsi:type="dcterms:W3CDTF">2026-08-24T17:20:00Z</dcterms:modified>
</cp:coreProperties>
</file>